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text" w:tblpX="250" w:vertAnchor="text" w:tblpY="1" w:leftFromText="180" w:topFromText="0" w:rightFromText="180" w:bottomFromText="0"/>
        <w:tblW w:w="9889" w:type="dxa"/>
        <w:tblLook w:val="04A0" w:firstRow="1" w:lastRow="0" w:firstColumn="1" w:lastColumn="0" w:noHBand="0" w:noVBand="1"/>
      </w:tblPr>
      <w:tblGrid>
        <w:gridCol w:w="5070"/>
        <w:gridCol w:w="4819"/>
      </w:tblGrid>
      <w:tr>
        <w:tblPrEx/>
        <w:trPr>
          <w:trHeight w:val="2116"/>
        </w:trPr>
        <w:tc>
          <w:tcPr>
            <w:tcW w:w="5070" w:type="dxa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rPr>
                <w:bCs/>
                <w:color w:val="000000"/>
              </w:rPr>
            </w:pPr>
            <w:r>
              <w:rPr>
                <w:color w:val="000000"/>
              </w:rPr>
              <w:t xml:space="preserve">«УТВЕРЖДЕНО»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  <w:p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  <w:p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</w:tr>
      <w:tr>
        <w:tblPrEx/>
        <w:trPr>
          <w:trHeight w:val="2116"/>
        </w:trPr>
        <w:tc>
          <w:tcPr>
            <w:tcW w:w="5070" w:type="dxa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</w:tbl>
    <w:p>
      <w:pPr>
        <w:pStyle w:val="1149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149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149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149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149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ДОКУМЕНТАЦИЯ О ЗАКУПКЕ</w:t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КОНКУРС В ЭЛЕКТРОННОЙ ФОРМЕ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на право заключения договора</w:t>
      </w:r>
      <w:r>
        <w:rPr>
          <w:b/>
          <w:bCs/>
        </w:rPr>
        <w:t xml:space="preserve"> поставки </w:t>
      </w:r>
      <w:r>
        <w:rPr>
          <w:b/>
          <w:bCs/>
        </w:rPr>
      </w:r>
      <w:r>
        <w:rPr>
          <w:b/>
          <w:bCs/>
        </w:rPr>
        <w:t xml:space="preserve">изоляторов подвесных стеклянных на напряжение от 10 кВ до 500 кВ</w:t>
      </w:r>
      <w:r>
        <w:rPr>
          <w:b/>
          <w:bCs/>
        </w:rPr>
      </w:r>
      <w:r>
        <w:rPr>
          <w:b/>
          <w:bCs/>
        </w:rPr>
        <w:t xml:space="preserve">,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для нужд АО «Россети Сибирь Тываэнерго»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№ </w:t>
      </w:r>
      <w:r>
        <w:rPr>
          <w:b/>
          <w:bCs/>
        </w:rPr>
      </w:r>
      <w:r>
        <w:rPr>
          <w:b/>
          <w:bCs/>
        </w:rPr>
        <w:t xml:space="preserve">25.1-11/3.2-0016</w:t>
      </w: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УЧАСТНИКАМИ ЗАКУПКИ МОГУТ БЫТЬ ТОЛЬКО СУБЪЕКТЫ МАЛОГО И СРЕДНЕГО ПРЕДПРИНИМАТЕЛЬСТВА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003"/>
        <w:jc w:val="center"/>
        <w:spacing w:after="0"/>
        <w:rPr>
          <w:b/>
          <w:bCs/>
        </w:rPr>
      </w:pPr>
      <w:r>
        <w:rPr>
          <w:b/>
          <w:bCs/>
        </w:rPr>
        <w:t xml:space="preserve">г. Кызыл</w:t>
      </w:r>
      <w:r>
        <w:rPr>
          <w:b/>
        </w:rPr>
        <w:t xml:space="preserve"> </w:t>
      </w:r>
      <w:r>
        <w:rPr>
          <w:bCs/>
        </w:rPr>
        <w:br/>
      </w:r>
      <w:r>
        <w:rPr>
          <w:b/>
          <w:bCs/>
        </w:rPr>
        <w:t xml:space="preserve">2025</w:t>
      </w:r>
      <w:r>
        <w:rPr>
          <w:b/>
          <w:bCs/>
        </w:rPr>
        <w:t xml:space="preserve"> год</w:t>
      </w:r>
      <w:r>
        <w:rPr>
          <w:sz w:val="28"/>
          <w:szCs w:val="28"/>
        </w:rPr>
        <w:br w:type="page" w:clear="all"/>
      </w:r>
      <w:r>
        <w:rPr>
          <w:b/>
          <w:bCs/>
        </w:rPr>
      </w:r>
      <w:r>
        <w:rPr>
          <w:b/>
          <w:bCs/>
        </w:rPr>
      </w:r>
    </w:p>
    <w:p>
      <w:pPr>
        <w:pStyle w:val="805"/>
        <w:ind w:left="567" w:firstLine="0"/>
        <w:keepNext w:val="0"/>
        <w:spacing w:before="0" w:after="0"/>
        <w:tabs>
          <w:tab w:val="clear" w:pos="432" w:leader="none"/>
        </w:tabs>
        <w:rPr>
          <w:rStyle w:val="1108"/>
          <w:b/>
          <w:caps/>
          <w:sz w:val="24"/>
          <w:szCs w:val="24"/>
        </w:rPr>
      </w:pPr>
      <w:r/>
      <w:bookmarkStart w:id="0" w:name="_Toc1"/>
      <w:r>
        <w:rPr>
          <w:rStyle w:val="1108"/>
          <w:b/>
          <w:caps/>
          <w:sz w:val="24"/>
          <w:szCs w:val="24"/>
        </w:rPr>
        <w:t xml:space="preserve">СОДЕРЖАНИЕ</w:t>
      </w:r>
      <w:bookmarkEnd w:id="0"/>
      <w:r>
        <w:rPr>
          <w:rStyle w:val="1108"/>
          <w:b/>
          <w:caps/>
          <w:sz w:val="24"/>
          <w:szCs w:val="24"/>
        </w:rPr>
      </w:r>
      <w:r>
        <w:rPr>
          <w:rStyle w:val="1108"/>
          <w:b/>
          <w:caps/>
          <w:sz w:val="24"/>
          <w:szCs w:val="24"/>
        </w:rPr>
      </w:r>
    </w:p>
    <w:p>
      <w:pPr>
        <w:ind w:firstLine="567"/>
        <w:jc w:val="left"/>
        <w:keepLines/>
        <w:keepNext/>
        <w:spacing w:after="0"/>
        <w:widowControl w:val="off"/>
        <w:suppressLineNumbers/>
      </w:pPr>
      <w:r/>
      <w:r/>
    </w:p>
    <w:p>
      <w:pPr>
        <w:pStyle w:val="997"/>
        <w:tabs>
          <w:tab w:val="right" w:pos="10195" w:leader="dot"/>
        </w:tabs>
        <w:rPr>
          <w:rStyle w:val="1108"/>
        </w:rPr>
      </w:pPr>
      <w:r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tooltip="#_Toc1" w:anchor="_Toc1" w:history="1">
        <w:r>
          <w:rPr>
            <w:rStyle w:val="1033"/>
          </w:rPr>
          <w:t xml:space="preserve">СОДЕРЖАНИЕ</w:t>
        </w:r>
        <w:r>
          <w:tab/>
        </w:r>
        <w:r>
          <w:fldChar w:fldCharType="begin"/>
        </w:r>
        <w:r>
          <w:instrText xml:space="preserve">PAGEREF _Toc1 \h</w:instrText>
        </w:r>
        <w:r>
          <w:fldChar w:fldCharType="separate"/>
        </w:r>
        <w:r>
          <w:rPr>
            <w:rStyle w:val="1033"/>
          </w:rPr>
          <w:t xml:space="preserve">2</w:t>
        </w:r>
        <w:r>
          <w:fldChar w:fldCharType="end"/>
        </w:r>
      </w:hyperlink>
      <w:r>
        <w:rPr>
          <w:rStyle w:val="1108"/>
        </w:rPr>
      </w:r>
      <w:r>
        <w:rPr>
          <w:rStyle w:val="1108"/>
        </w:rPr>
      </w:r>
    </w:p>
    <w:p>
      <w:pPr>
        <w:pStyle w:val="997"/>
        <w:tabs>
          <w:tab w:val="left" w:pos="567" w:leader="none"/>
          <w:tab w:val="right" w:pos="10195" w:leader="dot"/>
        </w:tabs>
        <w:rPr>
          <w:rStyle w:val="1108"/>
        </w:rPr>
      </w:pPr>
      <w:r/>
      <w:hyperlink w:tooltip="#_Toc2" w:anchor="_Toc2" w:history="1">
        <w:r>
          <w:t xml:space="preserve">I.</w:t>
        </w:r>
        <w:r>
          <w:tab/>
        </w:r>
        <w:r>
          <w:rPr>
            <w:rStyle w:val="1033"/>
          </w:rPr>
          <w:t xml:space="preserve">ОБЩИЕ УСЛОВИЯ ПРОВЕДЕНИЯ закупки</w:t>
        </w:r>
        <w:r>
          <w:tab/>
        </w:r>
        <w:r>
          <w:fldChar w:fldCharType="begin"/>
        </w:r>
        <w:r>
          <w:instrText xml:space="preserve">PAGEREF _Toc2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>
        <w:rPr>
          <w:rStyle w:val="1108"/>
        </w:rPr>
      </w:r>
      <w:r>
        <w:rPr>
          <w:rStyle w:val="1108"/>
        </w:rPr>
      </w:r>
    </w:p>
    <w:p>
      <w:pPr>
        <w:pStyle w:val="997"/>
        <w:tabs>
          <w:tab w:val="left" w:pos="567" w:leader="none"/>
          <w:tab w:val="right" w:pos="10195" w:leader="dot"/>
        </w:tabs>
      </w:pPr>
      <w:r/>
      <w:hyperlink w:tooltip="#_Toc3" w:anchor="_Toc3" w:history="1">
        <w:r>
          <w:t xml:space="preserve">1.</w:t>
        </w:r>
        <w:r>
          <w:tab/>
        </w:r>
        <w:r>
          <w:rPr>
            <w:rStyle w:val="1033"/>
          </w:rPr>
          <w:t xml:space="preserve">ОБЩИЕ ПОЛОЖЕНИЯ</w:t>
        </w:r>
        <w:r>
          <w:tab/>
        </w:r>
        <w:r>
          <w:fldChar w:fldCharType="begin"/>
        </w:r>
        <w:r>
          <w:instrText xml:space="preserve">PAGEREF _Toc3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pStyle w:val="998"/>
        <w:tabs>
          <w:tab w:val="left" w:pos="850" w:leader="none"/>
          <w:tab w:val="right" w:pos="10195" w:leader="dot"/>
        </w:tabs>
      </w:pPr>
      <w:r/>
      <w:hyperlink w:tooltip="#_Toc4" w:anchor="_Toc4" w:history="1">
        <w:r>
          <w:t xml:space="preserve">1.1.</w:t>
        </w:r>
        <w:r>
          <w:tab/>
        </w:r>
        <w:r>
          <w:rPr>
            <w:rStyle w:val="1033"/>
          </w:rPr>
          <w:t xml:space="preserve">Правовой статус документов</w:t>
        </w:r>
        <w:r>
          <w:tab/>
        </w:r>
        <w:r>
          <w:fldChar w:fldCharType="begin"/>
        </w:r>
        <w:r>
          <w:instrText xml:space="preserve">PAGEREF _Toc4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pStyle w:val="998"/>
        <w:tabs>
          <w:tab w:val="left" w:pos="850" w:leader="none"/>
          <w:tab w:val="right" w:pos="10195" w:leader="dot"/>
        </w:tabs>
      </w:pPr>
      <w:r/>
      <w:hyperlink w:tooltip="#_Toc5" w:anchor="_Toc5" w:history="1">
        <w:r>
          <w:t xml:space="preserve">1.2.</w:t>
        </w:r>
        <w:r>
          <w:tab/>
        </w:r>
        <w:r>
          <w:rPr>
            <w:rStyle w:val="1033"/>
          </w:rPr>
          <w:t xml:space="preserve">Заказчик, предмет и условия проведения закупки.</w:t>
        </w:r>
        <w:r>
          <w:tab/>
        </w:r>
        <w:r>
          <w:fldChar w:fldCharType="begin"/>
        </w:r>
        <w:r>
          <w:instrText xml:space="preserve">PAGEREF _Toc5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pStyle w:val="998"/>
        <w:tabs>
          <w:tab w:val="left" w:pos="850" w:leader="none"/>
          <w:tab w:val="right" w:pos="10195" w:leader="dot"/>
        </w:tabs>
      </w:pPr>
      <w:r/>
      <w:hyperlink w:tooltip="#_Toc6" w:anchor="_Toc6" w:history="1">
        <w:r>
          <w:t xml:space="preserve">1.3.</w:t>
        </w:r>
        <w:r>
          <w:tab/>
        </w:r>
        <w:r>
          <w:rPr>
            <w:rStyle w:val="1033"/>
          </w:rPr>
          <w:t xml:space="preserve">Начальная (максимальная) цена договора</w:t>
        </w:r>
        <w:r>
          <w:tab/>
        </w:r>
        <w:r>
          <w:fldChar w:fldCharType="begin"/>
        </w:r>
        <w:r>
          <w:instrText xml:space="preserve">PAGEREF _Toc6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pStyle w:val="998"/>
        <w:tabs>
          <w:tab w:val="left" w:pos="850" w:leader="none"/>
          <w:tab w:val="right" w:pos="10195" w:leader="dot"/>
        </w:tabs>
      </w:pPr>
      <w:r/>
      <w:hyperlink w:tooltip="#_Toc7" w:anchor="_Toc7" w:history="1">
        <w:r>
          <w:t xml:space="preserve">1.4.</w:t>
        </w:r>
        <w:r>
          <w:tab/>
        </w:r>
        <w:r>
          <w:rPr>
            <w:rStyle w:val="1033"/>
          </w:rPr>
          <w:t xml:space="preserve">Требования к участникам закупки</w:t>
        </w:r>
        <w:r>
          <w:tab/>
        </w:r>
        <w:r>
          <w:fldChar w:fldCharType="begin"/>
        </w:r>
        <w:r>
          <w:instrText xml:space="preserve">PAGEREF _Toc7 \h</w:instrText>
        </w:r>
        <w:r>
          <w:fldChar w:fldCharType="separate"/>
        </w:r>
        <w:r>
          <w:t xml:space="preserve">5</w:t>
        </w:r>
        <w:r>
          <w:fldChar w:fldCharType="end"/>
        </w:r>
      </w:hyperlink>
      <w:r/>
      <w:r/>
    </w:p>
    <w:p>
      <w:pPr>
        <w:pStyle w:val="998"/>
        <w:tabs>
          <w:tab w:val="left" w:pos="850" w:leader="none"/>
          <w:tab w:val="right" w:pos="10195" w:leader="dot"/>
        </w:tabs>
      </w:pPr>
      <w:r/>
      <w:hyperlink w:tooltip="#_Toc8" w:anchor="_Toc8" w:history="1">
        <w:r>
          <w:t xml:space="preserve">1.5.</w:t>
        </w:r>
        <w:r>
          <w:tab/>
        </w:r>
        <w:r>
          <w:rPr>
            <w:rStyle w:val="1033"/>
          </w:rPr>
          <w:t xml:space="preserve">Привлечение соисполнителей (субподрядчиков, субпоставщиков) к исполнению договора</w:t>
        </w:r>
        <w:r>
          <w:tab/>
        </w:r>
        <w:r>
          <w:fldChar w:fldCharType="begin"/>
        </w:r>
        <w:r>
          <w:instrText xml:space="preserve">PAGEREF _Toc8 \h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/>
      <w:r/>
    </w:p>
    <w:p>
      <w:pPr>
        <w:pStyle w:val="998"/>
        <w:tabs>
          <w:tab w:val="left" w:pos="850" w:leader="none"/>
          <w:tab w:val="right" w:pos="10195" w:leader="dot"/>
        </w:tabs>
      </w:pPr>
      <w:r/>
      <w:hyperlink w:tooltip="#_Toc9" w:anchor="_Toc9" w:history="1">
        <w:r>
          <w:t xml:space="preserve">1.6.</w:t>
        </w:r>
        <w:r>
          <w:tab/>
        </w:r>
        <w:r>
          <w:rPr>
            <w:rStyle w:val="1033"/>
          </w:rPr>
          <w:t xml:space="preserve">Расходы на участие в закупке и при заключении договора</w:t>
        </w:r>
        <w:r>
          <w:tab/>
        </w:r>
        <w:r>
          <w:fldChar w:fldCharType="begin"/>
        </w:r>
        <w:r>
          <w:instrText xml:space="preserve">PAGEREF _Toc9 \h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/>
      <w:r/>
    </w:p>
    <w:p>
      <w:pPr>
        <w:pStyle w:val="998"/>
        <w:tabs>
          <w:tab w:val="left" w:pos="850" w:leader="none"/>
          <w:tab w:val="right" w:pos="10195" w:leader="dot"/>
        </w:tabs>
      </w:pPr>
      <w:r/>
      <w:hyperlink w:tooltip="#_Toc10" w:anchor="_Toc10" w:history="1">
        <w:r>
          <w:t xml:space="preserve">1.7.</w:t>
        </w:r>
        <w:r>
          <w:tab/>
        </w:r>
        <w:r>
          <w:rPr>
            <w:rStyle w:val="1033"/>
          </w:rPr>
          <w:t xml:space="preserve">Запрет, ограничение закупок товаров (в том числе поставляемых при выполнении закупаемых работ, оказании закупаемых услуг), про</w:t>
        </w:r>
        <w:r>
          <w:rPr>
            <w:rStyle w:val="1033"/>
          </w:rPr>
          <w:t xml:space="preserve">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</w:t>
        </w:r>
        <w:r>
          <w:tab/>
        </w:r>
        <w:r>
          <w:fldChar w:fldCharType="begin"/>
        </w:r>
        <w:r>
          <w:instrText xml:space="preserve">PAGEREF _Toc10 \h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/>
      <w:r/>
    </w:p>
    <w:p>
      <w:pPr>
        <w:pStyle w:val="997"/>
        <w:tabs>
          <w:tab w:val="left" w:pos="567" w:leader="none"/>
          <w:tab w:val="right" w:pos="10195" w:leader="dot"/>
        </w:tabs>
      </w:pPr>
      <w:r/>
      <w:hyperlink w:tooltip="#_Toc11" w:anchor="_Toc11" w:history="1">
        <w:r>
          <w:t xml:space="preserve">2.</w:t>
        </w:r>
        <w:r>
          <w:tab/>
        </w:r>
        <w:r>
          <w:rPr>
            <w:rStyle w:val="1033"/>
          </w:rPr>
          <w:t xml:space="preserve">ДОКУМЕНТАЦИЯ О ЗАКУПКЕ</w:t>
        </w:r>
        <w:r>
          <w:tab/>
        </w:r>
        <w:r>
          <w:fldChar w:fldCharType="begin"/>
        </w:r>
        <w:r>
          <w:instrText xml:space="preserve">PAGEREF _Toc11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8"/>
        <w:tabs>
          <w:tab w:val="left" w:pos="850" w:leader="none"/>
          <w:tab w:val="right" w:pos="10195" w:leader="dot"/>
        </w:tabs>
      </w:pPr>
      <w:r/>
      <w:hyperlink w:tooltip="#_Toc12" w:anchor="_Toc12" w:history="1">
        <w:r>
          <w:t xml:space="preserve">2.1.</w:t>
        </w:r>
        <w:r>
          <w:tab/>
        </w:r>
        <w:r>
          <w:rPr>
            <w:rStyle w:val="1033"/>
          </w:rPr>
          <w:t xml:space="preserve">Предоставление документации о закупке</w:t>
        </w:r>
        <w:r>
          <w:tab/>
        </w:r>
        <w:r>
          <w:fldChar w:fldCharType="begin"/>
        </w:r>
        <w:r>
          <w:instrText xml:space="preserve">PAGEREF _Toc12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8"/>
        <w:tabs>
          <w:tab w:val="left" w:pos="850" w:leader="none"/>
          <w:tab w:val="right" w:pos="10195" w:leader="dot"/>
        </w:tabs>
      </w:pPr>
      <w:r/>
      <w:hyperlink w:tooltip="#_Toc13" w:anchor="_Toc13" w:history="1">
        <w:r>
          <w:t xml:space="preserve">2.2.</w:t>
        </w:r>
        <w:r>
          <w:tab/>
        </w:r>
        <w:r>
          <w:rPr>
            <w:rStyle w:val="1033"/>
          </w:rPr>
          <w:t xml:space="preserve">Разъяснение положений документации о закупке</w:t>
        </w:r>
        <w:r>
          <w:tab/>
        </w:r>
        <w:r>
          <w:fldChar w:fldCharType="begin"/>
        </w:r>
        <w:r>
          <w:instrText xml:space="preserve">PAGEREF _Toc13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8"/>
        <w:tabs>
          <w:tab w:val="left" w:pos="850" w:leader="none"/>
          <w:tab w:val="right" w:pos="10195" w:leader="dot"/>
        </w:tabs>
      </w:pPr>
      <w:r/>
      <w:hyperlink w:tooltip="#_Toc14" w:anchor="_Toc14" w:history="1">
        <w:r>
          <w:t xml:space="preserve">2.3.</w:t>
        </w:r>
        <w:r>
          <w:tab/>
        </w:r>
        <w:r>
          <w:rPr>
            <w:rStyle w:val="1033"/>
          </w:rPr>
          <w:t xml:space="preserve">Внесение изменений в извещение о закупке и/или документацию о закупке</w:t>
        </w:r>
        <w:r>
          <w:tab/>
        </w:r>
        <w:r>
          <w:fldChar w:fldCharType="begin"/>
        </w:r>
        <w:r>
          <w:instrText xml:space="preserve">PAGEREF _Toc14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8"/>
        <w:tabs>
          <w:tab w:val="left" w:pos="850" w:leader="none"/>
          <w:tab w:val="right" w:pos="10195" w:leader="dot"/>
        </w:tabs>
      </w:pPr>
      <w:r/>
      <w:hyperlink w:tooltip="#_Toc15" w:anchor="_Toc15" w:history="1">
        <w:r>
          <w:t xml:space="preserve">2.4.</w:t>
        </w:r>
        <w:r>
          <w:tab/>
        </w:r>
        <w:r>
          <w:rPr>
            <w:rStyle w:val="1033"/>
          </w:rPr>
          <w:t xml:space="preserve">Отмена закупки</w:t>
        </w:r>
        <w:r>
          <w:tab/>
        </w:r>
        <w:r>
          <w:fldChar w:fldCharType="begin"/>
        </w:r>
        <w:r>
          <w:instrText xml:space="preserve">PAGEREF _Toc15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7"/>
        <w:tabs>
          <w:tab w:val="left" w:pos="567" w:leader="none"/>
          <w:tab w:val="right" w:pos="10195" w:leader="dot"/>
        </w:tabs>
      </w:pPr>
      <w:r/>
      <w:hyperlink w:tooltip="#_Toc16" w:anchor="_Toc16" w:history="1">
        <w:r>
          <w:t xml:space="preserve">3.</w:t>
        </w:r>
        <w:r>
          <w:tab/>
        </w:r>
        <w:r>
          <w:rPr>
            <w:rStyle w:val="1033"/>
          </w:rPr>
          <w:t xml:space="preserve">ТРЕБОВАНИЯ К СОДЕРЖАНИЮ ЗАЯВКИ НА УЧАСТИЕ В ЗАКУПКЕ</w:t>
        </w:r>
        <w:r>
          <w:tab/>
        </w:r>
        <w:r>
          <w:fldChar w:fldCharType="begin"/>
        </w:r>
        <w:r>
          <w:instrText xml:space="preserve">PAGEREF _Toc16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8"/>
        <w:tabs>
          <w:tab w:val="left" w:pos="850" w:leader="none"/>
          <w:tab w:val="right" w:pos="10195" w:leader="dot"/>
        </w:tabs>
      </w:pPr>
      <w:r/>
      <w:hyperlink w:tooltip="#_Toc17" w:anchor="_Toc17" w:history="1">
        <w:r>
          <w:t xml:space="preserve">3.1.</w:t>
        </w:r>
        <w:r>
          <w:tab/>
        </w:r>
        <w:r>
          <w:rPr>
            <w:rStyle w:val="1033"/>
          </w:rPr>
          <w:t xml:space="preserve">Требования к оформлению заявки на участие в закупке</w:t>
        </w:r>
        <w:r>
          <w:tab/>
        </w:r>
        <w:r>
          <w:fldChar w:fldCharType="begin"/>
        </w:r>
        <w:r>
          <w:instrText xml:space="preserve">PAGEREF _Toc17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8"/>
        <w:tabs>
          <w:tab w:val="left" w:pos="850" w:leader="none"/>
          <w:tab w:val="right" w:pos="10195" w:leader="dot"/>
        </w:tabs>
      </w:pPr>
      <w:r/>
      <w:hyperlink w:tooltip="#_Toc18" w:anchor="_Toc18" w:history="1">
        <w:r>
          <w:t xml:space="preserve">3.2.</w:t>
        </w:r>
        <w:r>
          <w:tab/>
        </w:r>
        <w:r>
          <w:rPr>
            <w:rStyle w:val="1033"/>
          </w:rPr>
          <w:t xml:space="preserve">Язык документов, входящих в состав заявки на участие в закупке</w:t>
        </w:r>
        <w:r>
          <w:tab/>
        </w:r>
        <w:r>
          <w:fldChar w:fldCharType="begin"/>
        </w:r>
        <w:r>
          <w:instrText xml:space="preserve">PAGEREF _Toc18 \h</w:instrText>
        </w:r>
        <w:r>
          <w:fldChar w:fldCharType="separate"/>
        </w:r>
        <w:r>
          <w:t xml:space="preserve">9</w:t>
        </w:r>
        <w:r>
          <w:fldChar w:fldCharType="end"/>
        </w:r>
      </w:hyperlink>
      <w:r/>
      <w:r/>
    </w:p>
    <w:p>
      <w:pPr>
        <w:pStyle w:val="998"/>
        <w:tabs>
          <w:tab w:val="left" w:pos="850" w:leader="none"/>
          <w:tab w:val="right" w:pos="10195" w:leader="dot"/>
        </w:tabs>
      </w:pPr>
      <w:r/>
      <w:hyperlink w:tooltip="#_Toc19" w:anchor="_Toc19" w:history="1">
        <w:r>
          <w:t xml:space="preserve">3.3.</w:t>
        </w:r>
        <w:r>
          <w:tab/>
        </w:r>
        <w:r>
          <w:rPr>
            <w:rStyle w:val="1033"/>
          </w:rPr>
          <w:t xml:space="preserve">Требования к валюте заявки</w:t>
        </w:r>
        <w:r>
          <w:tab/>
        </w:r>
        <w:r>
          <w:fldChar w:fldCharType="begin"/>
        </w:r>
        <w:r>
          <w:instrText xml:space="preserve">PAGEREF _Toc19 \h</w:instrText>
        </w:r>
        <w:r>
          <w:fldChar w:fldCharType="separate"/>
        </w:r>
        <w:r>
          <w:t xml:space="preserve">9</w:t>
        </w:r>
        <w:r>
          <w:fldChar w:fldCharType="end"/>
        </w:r>
      </w:hyperlink>
      <w:r/>
      <w:r/>
    </w:p>
    <w:p>
      <w:pPr>
        <w:pStyle w:val="998"/>
        <w:tabs>
          <w:tab w:val="left" w:pos="850" w:leader="none"/>
          <w:tab w:val="right" w:pos="10195" w:leader="dot"/>
        </w:tabs>
      </w:pPr>
      <w:r/>
      <w:hyperlink w:tooltip="#_Toc20" w:anchor="_Toc20" w:history="1">
        <w:r>
          <w:t xml:space="preserve">3.4.</w:t>
        </w:r>
        <w:r>
          <w:tab/>
        </w:r>
        <w:r>
          <w:rPr>
            <w:rStyle w:val="1033"/>
          </w:rPr>
          <w:t xml:space="preserve">Требования к составу заявки на участие в закупке</w:t>
        </w:r>
        <w:r>
          <w:tab/>
        </w:r>
        <w:r>
          <w:fldChar w:fldCharType="begin"/>
        </w:r>
        <w:r>
          <w:instrText xml:space="preserve">PAGEREF _Toc20 \h</w:instrText>
        </w:r>
        <w:r>
          <w:fldChar w:fldCharType="separate"/>
        </w:r>
        <w:r>
          <w:t xml:space="preserve">10</w:t>
        </w:r>
        <w:r>
          <w:fldChar w:fldCharType="end"/>
        </w:r>
      </w:hyperlink>
      <w:r/>
      <w:r/>
    </w:p>
    <w:p>
      <w:pPr>
        <w:pStyle w:val="998"/>
        <w:tabs>
          <w:tab w:val="left" w:pos="850" w:leader="none"/>
          <w:tab w:val="right" w:pos="10195" w:leader="dot"/>
        </w:tabs>
      </w:pPr>
      <w:r/>
      <w:hyperlink w:tooltip="#_Toc21" w:anchor="_Toc21" w:history="1">
        <w:r>
          <w:t xml:space="preserve">3.5.</w:t>
        </w:r>
        <w:r>
          <w:tab/>
        </w:r>
        <w:r>
          <w:rPr>
            <w:rStyle w:val="1033"/>
          </w:rPr>
          <w:t xml:space="preserve">Требования к описанию предложения участника закупки</w:t>
        </w:r>
        <w:r>
          <w:tab/>
        </w:r>
        <w:r>
          <w:fldChar w:fldCharType="begin"/>
        </w:r>
        <w:r>
          <w:instrText xml:space="preserve">PAGEREF _Toc21 \h</w:instrText>
        </w:r>
        <w:r>
          <w:fldChar w:fldCharType="separate"/>
        </w:r>
        <w:r>
          <w:t xml:space="preserve">10</w:t>
        </w:r>
        <w:r>
          <w:fldChar w:fldCharType="end"/>
        </w:r>
      </w:hyperlink>
      <w:r/>
      <w:r/>
    </w:p>
    <w:p>
      <w:pPr>
        <w:pStyle w:val="998"/>
        <w:tabs>
          <w:tab w:val="left" w:pos="850" w:leader="none"/>
          <w:tab w:val="right" w:pos="10195" w:leader="dot"/>
        </w:tabs>
      </w:pPr>
      <w:r/>
      <w:hyperlink w:tooltip="#_Toc22" w:anchor="_Toc22" w:history="1">
        <w:r>
          <w:t xml:space="preserve">3.6.</w:t>
        </w:r>
        <w:r>
          <w:tab/>
        </w:r>
        <w:r>
          <w:rPr>
            <w:rStyle w:val="1033"/>
          </w:rPr>
          <w:t xml:space="preserve">Требования к обеспечению заявок на участие в закупке</w:t>
        </w:r>
        <w:r>
          <w:tab/>
        </w:r>
        <w:r>
          <w:fldChar w:fldCharType="begin"/>
        </w:r>
        <w:r>
          <w:instrText xml:space="preserve">PAGEREF _Toc22 \h</w:instrText>
        </w:r>
        <w:r>
          <w:fldChar w:fldCharType="separate"/>
        </w:r>
        <w:r>
          <w:t xml:space="preserve">11</w:t>
        </w:r>
        <w:r>
          <w:fldChar w:fldCharType="end"/>
        </w:r>
      </w:hyperlink>
      <w:r/>
      <w:r/>
    </w:p>
    <w:p>
      <w:pPr>
        <w:pStyle w:val="998"/>
        <w:tabs>
          <w:tab w:val="left" w:pos="850" w:leader="none"/>
          <w:tab w:val="right" w:pos="10195" w:leader="dot"/>
        </w:tabs>
      </w:pPr>
      <w:r/>
      <w:hyperlink w:tooltip="#_Toc23" w:anchor="_Toc23" w:history="1">
        <w:r>
          <w:t xml:space="preserve">3.7.</w:t>
        </w:r>
        <w:r>
          <w:tab/>
        </w:r>
        <w:r>
          <w:rPr>
            <w:rStyle w:val="1033"/>
          </w:rPr>
          <w:t xml:space="preserve">Требования к дополнительному обеспечению исполнения обязательств по договору, заключаемому по итогам закупочных процедур с участником, предоставившим заявку с аномально низкой ценой</w:t>
        </w:r>
        <w:r>
          <w:tab/>
        </w:r>
        <w:r>
          <w:fldChar w:fldCharType="begin"/>
        </w:r>
        <w:r>
          <w:instrText xml:space="preserve">PAGEREF _Toc23 \h</w:instrText>
        </w:r>
        <w:r>
          <w:fldChar w:fldCharType="separate"/>
        </w:r>
        <w:r>
          <w:t xml:space="preserve">13</w:t>
        </w:r>
        <w:r>
          <w:fldChar w:fldCharType="end"/>
        </w:r>
      </w:hyperlink>
      <w:r/>
      <w:r/>
    </w:p>
    <w:p>
      <w:pPr>
        <w:pStyle w:val="997"/>
        <w:tabs>
          <w:tab w:val="left" w:pos="567" w:leader="none"/>
          <w:tab w:val="right" w:pos="10195" w:leader="dot"/>
        </w:tabs>
      </w:pPr>
      <w:r/>
      <w:hyperlink w:tooltip="#_Toc24" w:anchor="_Toc24" w:history="1">
        <w:r>
          <w:t xml:space="preserve">4.</w:t>
        </w:r>
        <w:r>
          <w:tab/>
        </w:r>
        <w:r>
          <w:rPr>
            <w:rStyle w:val="1033"/>
          </w:rPr>
          <w:t xml:space="preserve">ПОДАЧА ЗАЯВОК НА УЧАСТИЕ В ЗАКУПКЕ</w:t>
        </w:r>
        <w:r>
          <w:tab/>
        </w:r>
        <w:r>
          <w:fldChar w:fldCharType="begin"/>
        </w:r>
        <w:r>
          <w:instrText xml:space="preserve">PAGEREF _Toc24 \h</w:instrText>
        </w:r>
        <w:r>
          <w:fldChar w:fldCharType="separate"/>
        </w:r>
        <w:r>
          <w:t xml:space="preserve">14</w:t>
        </w:r>
        <w:r>
          <w:fldChar w:fldCharType="end"/>
        </w:r>
      </w:hyperlink>
      <w:r/>
      <w:r/>
    </w:p>
    <w:p>
      <w:pPr>
        <w:pStyle w:val="998"/>
        <w:tabs>
          <w:tab w:val="left" w:pos="850" w:leader="none"/>
          <w:tab w:val="right" w:pos="10195" w:leader="dot"/>
        </w:tabs>
      </w:pPr>
      <w:r/>
      <w:hyperlink w:tooltip="#_Toc25" w:anchor="_Toc25" w:history="1">
        <w:r>
          <w:t xml:space="preserve">4.1.</w:t>
        </w:r>
        <w:r>
          <w:tab/>
        </w:r>
        <w:r>
          <w:rPr>
            <w:rStyle w:val="1033"/>
          </w:rPr>
          <w:t xml:space="preserve">Порядок, место, дата начала и дата окончания срока подачи заявок на участие в закупке</w:t>
        </w:r>
        <w:r>
          <w:tab/>
        </w:r>
        <w:r>
          <w:fldChar w:fldCharType="begin"/>
        </w:r>
        <w:r>
          <w:instrText xml:space="preserve">PAGEREF _Toc25 \h</w:instrText>
        </w:r>
        <w:r>
          <w:fldChar w:fldCharType="separate"/>
        </w:r>
        <w:r>
          <w:t xml:space="preserve">14</w:t>
        </w:r>
        <w:r>
          <w:fldChar w:fldCharType="end"/>
        </w:r>
      </w:hyperlink>
      <w:r/>
      <w:r/>
    </w:p>
    <w:p>
      <w:pPr>
        <w:pStyle w:val="998"/>
        <w:tabs>
          <w:tab w:val="left" w:pos="850" w:leader="none"/>
          <w:tab w:val="right" w:pos="10195" w:leader="dot"/>
        </w:tabs>
      </w:pPr>
      <w:r/>
      <w:hyperlink w:tooltip="#_Toc26" w:anchor="_Toc26" w:history="1">
        <w:r>
          <w:t xml:space="preserve">4.2.</w:t>
        </w:r>
        <w:r>
          <w:tab/>
        </w:r>
        <w:r>
          <w:rPr>
            <w:rStyle w:val="1033"/>
          </w:rPr>
          <w:t xml:space="preserve">Изменения и отзыв заявок на участие в закупке</w:t>
        </w:r>
        <w:r>
          <w:tab/>
        </w:r>
        <w:r>
          <w:fldChar w:fldCharType="begin"/>
        </w:r>
        <w:r>
          <w:instrText xml:space="preserve">PAGEREF _Toc26 \h</w:instrText>
        </w:r>
        <w:r>
          <w:fldChar w:fldCharType="separate"/>
        </w:r>
        <w:r>
          <w:t xml:space="preserve">14</w:t>
        </w:r>
        <w:r>
          <w:fldChar w:fldCharType="end"/>
        </w:r>
      </w:hyperlink>
      <w:r/>
      <w:r/>
    </w:p>
    <w:p>
      <w:pPr>
        <w:pStyle w:val="997"/>
        <w:tabs>
          <w:tab w:val="left" w:pos="567" w:leader="none"/>
          <w:tab w:val="right" w:pos="10195" w:leader="dot"/>
        </w:tabs>
      </w:pPr>
      <w:r/>
      <w:hyperlink w:tooltip="#_Toc27" w:anchor="_Toc27" w:history="1">
        <w:r>
          <w:t xml:space="preserve">5.</w:t>
        </w:r>
        <w:r>
          <w:tab/>
        </w:r>
        <w:r>
          <w:rPr>
            <w:rStyle w:val="1033"/>
          </w:rPr>
          <w:t xml:space="preserve">ПОРЯДОК ПРОВЕДЕНИЯ ЭТАПОВ ЗАКУПКИ</w:t>
        </w:r>
        <w:r>
          <w:tab/>
        </w:r>
        <w:r>
          <w:fldChar w:fldCharType="begin"/>
        </w:r>
        <w:r>
          <w:instrText xml:space="preserve">PAGEREF _Toc27 \h</w:instrText>
        </w:r>
        <w:r>
          <w:fldChar w:fldCharType="separate"/>
        </w:r>
        <w:r>
          <w:t xml:space="preserve">15</w:t>
        </w:r>
        <w:r>
          <w:fldChar w:fldCharType="end"/>
        </w:r>
      </w:hyperlink>
      <w:r/>
      <w:r/>
    </w:p>
    <w:p>
      <w:pPr>
        <w:pStyle w:val="998"/>
        <w:tabs>
          <w:tab w:val="left" w:pos="850" w:leader="none"/>
          <w:tab w:val="right" w:pos="10195" w:leader="dot"/>
        </w:tabs>
      </w:pPr>
      <w:r/>
      <w:hyperlink w:tooltip="#_Toc28" w:anchor="_Toc28" w:history="1">
        <w:r>
          <w:t xml:space="preserve">5.1.</w:t>
        </w:r>
        <w:r>
          <w:tab/>
        </w:r>
        <w:r>
          <w:rPr>
            <w:rStyle w:val="1033"/>
          </w:rPr>
          <w:t xml:space="preserve">Обсуждение с участниками конкурса функциональных характеристик </w:t>
        </w:r>
        <w:r>
          <w:rPr>
            <w:rStyle w:val="1033"/>
          </w:rPr>
          <w:t xml:space="preserve">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  </w:r>
        <w:r>
          <w:tab/>
        </w:r>
        <w:r>
          <w:fldChar w:fldCharType="begin"/>
        </w:r>
        <w:r>
          <w:instrText xml:space="preserve">PAGEREF _Toc28 \h</w:instrText>
        </w:r>
        <w:r>
          <w:fldChar w:fldCharType="separate"/>
        </w:r>
        <w:r>
          <w:t xml:space="preserve">15</w:t>
        </w:r>
        <w:r>
          <w:fldChar w:fldCharType="end"/>
        </w:r>
      </w:hyperlink>
      <w:r/>
      <w:r/>
    </w:p>
    <w:p>
      <w:pPr>
        <w:pStyle w:val="998"/>
        <w:tabs>
          <w:tab w:val="left" w:pos="850" w:leader="none"/>
          <w:tab w:val="right" w:pos="10195" w:leader="dot"/>
        </w:tabs>
      </w:pPr>
      <w:r/>
      <w:hyperlink w:tooltip="#_Toc29" w:anchor="_Toc29" w:history="1">
        <w:r>
          <w:t xml:space="preserve">5.2.</w:t>
        </w:r>
        <w:r>
          <w:tab/>
        </w:r>
        <w:r>
          <w:rPr>
            <w:rStyle w:val="1033"/>
          </w:rPr>
          <w:t xml:space="preserve">Обсуждение Заказчиком предложений участников о функциональных характеристиках (потребительских свойствах) товаров, ка</w:t>
        </w:r>
        <w:r>
          <w:rPr>
            <w:rStyle w:val="1033"/>
          </w:rPr>
          <w:t xml:space="preserve">честве работ, услуг и иных условиях 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  </w:r>
        <w:r>
          <w:tab/>
        </w:r>
        <w:r>
          <w:fldChar w:fldCharType="begin"/>
        </w:r>
        <w:r>
          <w:instrText xml:space="preserve">PAGEREF _Toc29 \h</w:instrText>
        </w:r>
        <w:r>
          <w:fldChar w:fldCharType="separate"/>
        </w:r>
        <w:r>
          <w:t xml:space="preserve">15</w:t>
        </w:r>
        <w:r>
          <w:fldChar w:fldCharType="end"/>
        </w:r>
      </w:hyperlink>
      <w:r/>
      <w:r/>
    </w:p>
    <w:p>
      <w:pPr>
        <w:pStyle w:val="998"/>
        <w:tabs>
          <w:tab w:val="left" w:pos="850" w:leader="none"/>
          <w:tab w:val="right" w:pos="10195" w:leader="dot"/>
        </w:tabs>
      </w:pPr>
      <w:r/>
      <w:hyperlink w:tooltip="#_Toc30" w:anchor="_Toc30" w:history="1">
        <w:r>
          <w:t xml:space="preserve">5.3.</w:t>
        </w:r>
        <w:r>
          <w:tab/>
        </w:r>
        <w:r>
          <w:rPr>
            <w:rStyle w:val="1033"/>
          </w:rPr>
          <w:t xml:space="preserve">Рассмотрение и оценка Заказчиком поданных участниками закупки заявок</w:t>
        </w:r>
        <w:r>
          <w:tab/>
        </w:r>
        <w:r>
          <w:fldChar w:fldCharType="begin"/>
        </w:r>
        <w:r>
          <w:instrText xml:space="preserve">PAGEREF _Toc30 \h</w:instrText>
        </w:r>
        <w:r>
          <w:fldChar w:fldCharType="separate"/>
        </w:r>
        <w:r>
          <w:t xml:space="preserve">16</w:t>
        </w:r>
        <w:r>
          <w:fldChar w:fldCharType="end"/>
        </w:r>
      </w:hyperlink>
      <w:r/>
      <w:r/>
    </w:p>
    <w:p>
      <w:pPr>
        <w:pStyle w:val="998"/>
        <w:tabs>
          <w:tab w:val="left" w:pos="850" w:leader="none"/>
          <w:tab w:val="right" w:pos="10195" w:leader="dot"/>
        </w:tabs>
      </w:pPr>
      <w:r/>
      <w:hyperlink w:tooltip="#_Toc31" w:anchor="_Toc31" w:history="1">
        <w:r>
          <w:t xml:space="preserve">5.4.</w:t>
        </w:r>
        <w:r>
          <w:tab/>
        </w:r>
        <w:r>
          <w:rPr>
            <w:rStyle w:val="1033"/>
          </w:rPr>
          <w:t xml:space="preserve">Сопоставление дополнительных ценовых предложений участников о снижении цены договора</w:t>
        </w:r>
        <w:r>
          <w:tab/>
        </w:r>
        <w:r>
          <w:fldChar w:fldCharType="begin"/>
        </w:r>
        <w:r>
          <w:instrText xml:space="preserve">PAGEREF _Toc31 \h</w:instrText>
        </w:r>
        <w:r>
          <w:fldChar w:fldCharType="separate"/>
        </w:r>
        <w:r>
          <w:t xml:space="preserve">16</w:t>
        </w:r>
        <w:r>
          <w:fldChar w:fldCharType="end"/>
        </w:r>
      </w:hyperlink>
      <w:r/>
      <w:r/>
    </w:p>
    <w:p>
      <w:pPr>
        <w:pStyle w:val="997"/>
        <w:tabs>
          <w:tab w:val="left" w:pos="567" w:leader="none"/>
          <w:tab w:val="right" w:pos="10195" w:leader="dot"/>
        </w:tabs>
      </w:pPr>
      <w:r/>
      <w:hyperlink w:tooltip="#_Toc32" w:anchor="_Toc32" w:history="1">
        <w:r>
          <w:t xml:space="preserve">6.</w:t>
        </w:r>
        <w:r>
          <w:tab/>
        </w:r>
        <w:r>
          <w:rPr>
            <w:rStyle w:val="1033"/>
          </w:rPr>
          <w:t xml:space="preserve">ПОРЯДОК ПРОВЕДЕНИЯ РАССМОТРЕНИЯ, ОЦЕНКИ И СОПОСТАВЛЕНИЯ ЗАЯВОК НА УЧАСТИЕ В ЗАКУПКЕ</w:t>
        </w:r>
        <w:r>
          <w:tab/>
        </w:r>
        <w:r>
          <w:fldChar w:fldCharType="begin"/>
        </w:r>
        <w:r>
          <w:instrText xml:space="preserve">PAGEREF _Toc32 \h</w:instrText>
        </w:r>
        <w:r>
          <w:fldChar w:fldCharType="separate"/>
        </w:r>
        <w:r>
          <w:t xml:space="preserve">17</w:t>
        </w:r>
        <w:r>
          <w:fldChar w:fldCharType="end"/>
        </w:r>
      </w:hyperlink>
      <w:r/>
      <w:r/>
    </w:p>
    <w:p>
      <w:pPr>
        <w:pStyle w:val="998"/>
        <w:tabs>
          <w:tab w:val="left" w:pos="850" w:leader="none"/>
          <w:tab w:val="right" w:pos="10195" w:leader="dot"/>
        </w:tabs>
      </w:pPr>
      <w:r/>
      <w:hyperlink w:tooltip="#_Toc33" w:anchor="_Toc33" w:history="1">
        <w:r>
          <w:t xml:space="preserve">6.1.</w:t>
        </w:r>
        <w:r>
          <w:tab/>
        </w:r>
        <w:r>
          <w:rPr>
            <w:rStyle w:val="1033"/>
          </w:rPr>
          <w:t xml:space="preserve">Закупочная комиссия</w:t>
        </w:r>
        <w:r>
          <w:tab/>
        </w:r>
        <w:r>
          <w:fldChar w:fldCharType="begin"/>
        </w:r>
        <w:r>
          <w:instrText xml:space="preserve">PAGEREF _Toc33 \h</w:instrText>
        </w:r>
        <w:r>
          <w:fldChar w:fldCharType="separate"/>
        </w:r>
        <w:r>
          <w:t xml:space="preserve">17</w:t>
        </w:r>
        <w:r>
          <w:fldChar w:fldCharType="end"/>
        </w:r>
      </w:hyperlink>
      <w:r/>
      <w:r/>
    </w:p>
    <w:p>
      <w:pPr>
        <w:pStyle w:val="998"/>
        <w:tabs>
          <w:tab w:val="left" w:pos="850" w:leader="none"/>
          <w:tab w:val="right" w:pos="10195" w:leader="dot"/>
        </w:tabs>
      </w:pPr>
      <w:r/>
      <w:hyperlink w:tooltip="#_Toc34" w:anchor="_Toc34" w:history="1">
        <w:r>
          <w:t xml:space="preserve">6.2.</w:t>
        </w:r>
        <w:r>
          <w:tab/>
        </w:r>
        <w:r>
          <w:rPr>
            <w:rStyle w:val="1033"/>
          </w:rPr>
          <w:t xml:space="preserve">Требования к процедуре рассмотрения, оценки и сопоставления заявок участников закупки</w:t>
        </w:r>
        <w:r>
          <w:tab/>
        </w:r>
        <w:r>
          <w:fldChar w:fldCharType="begin"/>
        </w:r>
        <w:r>
          <w:instrText xml:space="preserve">PAGEREF _Toc34 \h</w:instrText>
        </w:r>
        <w:r>
          <w:fldChar w:fldCharType="separate"/>
        </w:r>
        <w:r>
          <w:t xml:space="preserve">17</w:t>
        </w:r>
        <w:r>
          <w:fldChar w:fldCharType="end"/>
        </w:r>
      </w:hyperlink>
      <w:r/>
      <w:r/>
    </w:p>
    <w:p>
      <w:pPr>
        <w:pStyle w:val="998"/>
        <w:tabs>
          <w:tab w:val="left" w:pos="850" w:leader="none"/>
          <w:tab w:val="right" w:pos="10195" w:leader="dot"/>
        </w:tabs>
      </w:pPr>
      <w:r/>
      <w:hyperlink w:tooltip="#_Toc35" w:anchor="_Toc35" w:history="1">
        <w:r>
          <w:t xml:space="preserve">6.3.</w:t>
        </w:r>
        <w:r>
          <w:tab/>
        </w:r>
        <w:r>
          <w:rPr>
            <w:rStyle w:val="1033"/>
          </w:rPr>
          <w:t xml:space="preserve">Критерии оценки заявок участников закупки</w:t>
        </w:r>
        <w:r>
          <w:tab/>
        </w:r>
        <w:r>
          <w:fldChar w:fldCharType="begin"/>
        </w:r>
        <w:r>
          <w:instrText xml:space="preserve">PAGEREF _Toc35 \h</w:instrText>
        </w:r>
        <w:r>
          <w:fldChar w:fldCharType="separate"/>
        </w:r>
        <w:r>
          <w:t xml:space="preserve">19</w:t>
        </w:r>
        <w:r>
          <w:fldChar w:fldCharType="end"/>
        </w:r>
      </w:hyperlink>
      <w:r/>
      <w:r/>
    </w:p>
    <w:p>
      <w:pPr>
        <w:pStyle w:val="998"/>
        <w:tabs>
          <w:tab w:val="left" w:pos="850" w:leader="none"/>
          <w:tab w:val="right" w:pos="10195" w:leader="dot"/>
        </w:tabs>
      </w:pPr>
      <w:r/>
      <w:hyperlink w:tooltip="#_Toc36" w:anchor="_Toc36" w:history="1">
        <w:r>
          <w:t xml:space="preserve">6.4.</w:t>
        </w:r>
        <w:r>
          <w:tab/>
        </w:r>
        <w:r>
          <w:rPr>
            <w:rStyle w:val="1033"/>
          </w:rPr>
          <w:t xml:space="preserve">Особенности осуществления рассмотрения, оценки и сопоставления первых частей заявок</w:t>
        </w:r>
        <w:r>
          <w:tab/>
        </w:r>
        <w:r>
          <w:fldChar w:fldCharType="begin"/>
        </w:r>
        <w:r>
          <w:instrText xml:space="preserve">PAGEREF _Toc36 \h</w:instrText>
        </w:r>
        <w:r>
          <w:fldChar w:fldCharType="separate"/>
        </w:r>
        <w:r>
          <w:t xml:space="preserve">19</w:t>
        </w:r>
        <w:r>
          <w:fldChar w:fldCharType="end"/>
        </w:r>
      </w:hyperlink>
      <w:r/>
      <w:r/>
    </w:p>
    <w:p>
      <w:pPr>
        <w:pStyle w:val="998"/>
        <w:tabs>
          <w:tab w:val="left" w:pos="850" w:leader="none"/>
          <w:tab w:val="right" w:pos="10195" w:leader="dot"/>
        </w:tabs>
      </w:pPr>
      <w:r/>
      <w:hyperlink w:tooltip="#_Toc37" w:anchor="_Toc37" w:history="1">
        <w:r>
          <w:t xml:space="preserve">6.5.</w:t>
        </w:r>
        <w:r>
          <w:tab/>
        </w:r>
        <w:r>
          <w:rPr>
            <w:rStyle w:val="1033"/>
          </w:rPr>
          <w:t xml:space="preserve">Особенности осуществления рассмотрения, оценки и сопоставления вторых частей заявок</w:t>
        </w:r>
        <w:r>
          <w:tab/>
        </w:r>
        <w:r>
          <w:fldChar w:fldCharType="begin"/>
        </w:r>
        <w:r>
          <w:instrText xml:space="preserve">PAGEREF _Toc37 \h</w:instrText>
        </w:r>
        <w:r>
          <w:fldChar w:fldCharType="separate"/>
        </w:r>
        <w:r>
          <w:t xml:space="preserve">19</w:t>
        </w:r>
        <w:r>
          <w:fldChar w:fldCharType="end"/>
        </w:r>
      </w:hyperlink>
      <w:r/>
      <w:r/>
    </w:p>
    <w:p>
      <w:pPr>
        <w:pStyle w:val="998"/>
        <w:tabs>
          <w:tab w:val="left" w:pos="850" w:leader="none"/>
          <w:tab w:val="right" w:pos="10195" w:leader="dot"/>
        </w:tabs>
      </w:pPr>
      <w:r/>
      <w:hyperlink w:tooltip="#_Toc38" w:anchor="_Toc38" w:history="1">
        <w:r>
          <w:t xml:space="preserve">6.6.</w:t>
        </w:r>
        <w:r>
          <w:tab/>
        </w:r>
        <w:r>
          <w:rPr>
            <w:rStyle w:val="1033"/>
          </w:rPr>
          <w:t xml:space="preserve">Особенности осуществления рассмотрения, оценки и сопоставления ценовых предложений участников закупки</w:t>
        </w:r>
        <w:r>
          <w:tab/>
        </w:r>
        <w:r>
          <w:fldChar w:fldCharType="begin"/>
        </w:r>
        <w:r>
          <w:instrText xml:space="preserve">PAGEREF _Toc38 \h</w:instrText>
        </w:r>
        <w:r>
          <w:fldChar w:fldCharType="separate"/>
        </w:r>
        <w:r>
          <w:t xml:space="preserve">19</w:t>
        </w:r>
        <w:r>
          <w:fldChar w:fldCharType="end"/>
        </w:r>
      </w:hyperlink>
      <w:r/>
      <w:r/>
    </w:p>
    <w:p>
      <w:pPr>
        <w:pStyle w:val="998"/>
        <w:tabs>
          <w:tab w:val="left" w:pos="850" w:leader="none"/>
          <w:tab w:val="right" w:pos="10195" w:leader="dot"/>
        </w:tabs>
      </w:pPr>
      <w:r/>
      <w:hyperlink w:tooltip="#_Toc39" w:anchor="_Toc39" w:history="1">
        <w:r>
          <w:t xml:space="preserve">6.7.</w:t>
        </w:r>
        <w:r>
          <w:tab/>
        </w:r>
        <w:r>
          <w:rPr>
            <w:rStyle w:val="1033"/>
          </w:rPr>
          <w:t xml:space="preserve">Признание закупки несостоявшейся</w:t>
        </w:r>
        <w:r>
          <w:tab/>
        </w:r>
        <w:r>
          <w:fldChar w:fldCharType="begin"/>
        </w:r>
        <w:r>
          <w:instrText xml:space="preserve">PAGEREF _Toc39 \h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/>
      <w:r/>
    </w:p>
    <w:p>
      <w:pPr>
        <w:pStyle w:val="998"/>
        <w:tabs>
          <w:tab w:val="left" w:pos="850" w:leader="none"/>
          <w:tab w:val="right" w:pos="10195" w:leader="dot"/>
        </w:tabs>
      </w:pPr>
      <w:r/>
      <w:hyperlink w:tooltip="#_Toc40" w:anchor="_Toc40" w:history="1">
        <w:r>
          <w:t xml:space="preserve">6.8.</w:t>
        </w:r>
        <w:r>
          <w:tab/>
        </w:r>
        <w:r>
          <w:rPr>
            <w:rStyle w:val="1033"/>
          </w:rPr>
          <w:t xml:space="preserve">Рассмотрение жалоб и обращений участников закупки</w:t>
        </w:r>
        <w:r>
          <w:tab/>
        </w:r>
        <w:r>
          <w:fldChar w:fldCharType="begin"/>
        </w:r>
        <w:r>
          <w:instrText xml:space="preserve">PAGEREF _Toc40 \h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/>
      <w:r/>
    </w:p>
    <w:p>
      <w:pPr>
        <w:pStyle w:val="997"/>
        <w:tabs>
          <w:tab w:val="left" w:pos="567" w:leader="none"/>
          <w:tab w:val="right" w:pos="10195" w:leader="dot"/>
        </w:tabs>
      </w:pPr>
      <w:r/>
      <w:hyperlink w:tooltip="#_Toc41" w:anchor="_Toc41" w:history="1">
        <w:r>
          <w:t xml:space="preserve">7.</w:t>
        </w:r>
        <w:r>
          <w:tab/>
        </w:r>
        <w:r>
          <w:rPr>
            <w:rStyle w:val="1033"/>
          </w:rPr>
          <w:t xml:space="preserve">ЗАКЛЮЧЕНИЕ, ИЗМЕНЕНИЕ И РАСТОРЖЕНИЕ ДОГОВОРА</w:t>
        </w:r>
        <w:r>
          <w:tab/>
        </w:r>
        <w:r>
          <w:fldChar w:fldCharType="begin"/>
        </w:r>
        <w:r>
          <w:instrText xml:space="preserve">PAGEREF _Toc41 \h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/>
      <w:r/>
    </w:p>
    <w:p>
      <w:pPr>
        <w:pStyle w:val="998"/>
        <w:tabs>
          <w:tab w:val="left" w:pos="850" w:leader="none"/>
          <w:tab w:val="right" w:pos="10195" w:leader="dot"/>
        </w:tabs>
      </w:pPr>
      <w:r/>
      <w:hyperlink w:tooltip="#_Toc42" w:anchor="_Toc42" w:history="1">
        <w:r>
          <w:t xml:space="preserve">7.1.</w:t>
        </w:r>
        <w:r>
          <w:tab/>
        </w:r>
        <w:r>
          <w:rPr>
            <w:rStyle w:val="1033"/>
          </w:rPr>
          <w:t xml:space="preserve">Срок и порядок заключения договора</w:t>
        </w:r>
        <w:r>
          <w:tab/>
        </w:r>
        <w:r>
          <w:fldChar w:fldCharType="begin"/>
        </w:r>
        <w:r>
          <w:instrText xml:space="preserve">PAGEREF _Toc42 \h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/>
      <w:r/>
    </w:p>
    <w:p>
      <w:pPr>
        <w:pStyle w:val="998"/>
        <w:tabs>
          <w:tab w:val="left" w:pos="850" w:leader="none"/>
          <w:tab w:val="right" w:pos="10195" w:leader="dot"/>
        </w:tabs>
      </w:pPr>
      <w:r/>
      <w:hyperlink w:tooltip="#_Toc43" w:anchor="_Toc43" w:history="1">
        <w:r>
          <w:t xml:space="preserve">7.2.</w:t>
        </w:r>
        <w:r>
          <w:tab/>
        </w:r>
        <w:r>
          <w:rPr>
            <w:rStyle w:val="1033"/>
          </w:rPr>
          <w:t xml:space="preserve">Обеспечения исполнения договора, порядок предоставления такого обеспечения, требования к такому обеспечению</w:t>
        </w:r>
        <w:r>
          <w:tab/>
        </w:r>
        <w:r>
          <w:fldChar w:fldCharType="begin"/>
        </w:r>
        <w:r>
          <w:instrText xml:space="preserve">PAGEREF _Toc43 \h</w:instrText>
        </w:r>
        <w:r>
          <w:fldChar w:fldCharType="separate"/>
        </w:r>
        <w:r>
          <w:t xml:space="preserve">21</w:t>
        </w:r>
        <w:r>
          <w:fldChar w:fldCharType="end"/>
        </w:r>
      </w:hyperlink>
      <w:r/>
      <w:r/>
    </w:p>
    <w:p>
      <w:pPr>
        <w:pStyle w:val="998"/>
        <w:tabs>
          <w:tab w:val="left" w:pos="850" w:leader="none"/>
          <w:tab w:val="right" w:pos="10195" w:leader="dot"/>
        </w:tabs>
      </w:pPr>
      <w:r/>
      <w:hyperlink w:tooltip="#_Toc44" w:anchor="_Toc44" w:history="1">
        <w:r>
          <w:t xml:space="preserve">7.3.</w:t>
        </w:r>
        <w:r>
          <w:tab/>
        </w:r>
        <w:r>
          <w:rPr>
            <w:rStyle w:val="1033"/>
          </w:rPr>
          <w:t xml:space="preserve">Требования к условиям независимой гарантии, выданной в качестве обеспечения исполнения договора</w:t>
        </w:r>
        <w:r>
          <w:tab/>
        </w:r>
        <w:r>
          <w:fldChar w:fldCharType="begin"/>
        </w:r>
        <w:r>
          <w:instrText xml:space="preserve">PAGEREF _Toc44 \h</w:instrText>
        </w:r>
        <w:r>
          <w:fldChar w:fldCharType="separate"/>
        </w:r>
        <w:r>
          <w:t xml:space="preserve">21</w:t>
        </w:r>
        <w:r>
          <w:fldChar w:fldCharType="end"/>
        </w:r>
      </w:hyperlink>
      <w:r/>
      <w:r/>
    </w:p>
    <w:p>
      <w:pPr>
        <w:pStyle w:val="998"/>
        <w:tabs>
          <w:tab w:val="left" w:pos="850" w:leader="none"/>
          <w:tab w:val="right" w:pos="10195" w:leader="dot"/>
        </w:tabs>
      </w:pPr>
      <w:r/>
      <w:hyperlink w:tooltip="#_Toc45" w:anchor="_Toc45" w:history="1">
        <w:r>
          <w:t xml:space="preserve">7.4.</w:t>
        </w:r>
        <w:r>
          <w:tab/>
        </w:r>
        <w:r>
          <w:rPr>
            <w:rStyle w:val="1033"/>
          </w:rPr>
          <w:t xml:space="preserve">Отказ от заключения договора</w:t>
        </w:r>
        <w:r>
          <w:tab/>
        </w:r>
        <w:r>
          <w:fldChar w:fldCharType="begin"/>
        </w:r>
        <w:r>
          <w:instrText xml:space="preserve">PAGEREF _Toc45 \h</w:instrText>
        </w:r>
        <w:r>
          <w:fldChar w:fldCharType="separate"/>
        </w:r>
        <w:r>
          <w:t xml:space="preserve">22</w:t>
        </w:r>
        <w:r>
          <w:fldChar w:fldCharType="end"/>
        </w:r>
      </w:hyperlink>
      <w:r/>
      <w:r/>
    </w:p>
    <w:p>
      <w:pPr>
        <w:pStyle w:val="998"/>
        <w:tabs>
          <w:tab w:val="left" w:pos="850" w:leader="none"/>
          <w:tab w:val="right" w:pos="10195" w:leader="dot"/>
        </w:tabs>
      </w:pPr>
      <w:r/>
      <w:hyperlink w:tooltip="#_Toc46" w:anchor="_Toc46" w:history="1">
        <w:r>
          <w:t xml:space="preserve">7.5.</w:t>
        </w:r>
        <w:r>
          <w:tab/>
        </w:r>
        <w:r>
          <w:rPr>
            <w:rStyle w:val="1033"/>
          </w:rPr>
          <w:t xml:space="preserve">Изменение и расторжение договора</w:t>
        </w:r>
        <w:r>
          <w:tab/>
        </w:r>
        <w:r>
          <w:fldChar w:fldCharType="begin"/>
        </w:r>
        <w:r>
          <w:instrText xml:space="preserve">PAGEREF _Toc46 \h</w:instrText>
        </w:r>
        <w:r>
          <w:fldChar w:fldCharType="separate"/>
        </w:r>
        <w:r>
          <w:t xml:space="preserve">23</w:t>
        </w:r>
        <w:r>
          <w:fldChar w:fldCharType="end"/>
        </w:r>
      </w:hyperlink>
      <w:r/>
      <w:r/>
    </w:p>
    <w:p>
      <w:pPr>
        <w:pStyle w:val="997"/>
        <w:tabs>
          <w:tab w:val="left" w:pos="567" w:leader="none"/>
          <w:tab w:val="right" w:pos="10195" w:leader="dot"/>
        </w:tabs>
        <w:rPr>
          <w:rStyle w:val="1108"/>
        </w:rPr>
      </w:pPr>
      <w:r/>
      <w:hyperlink w:tooltip="#_Toc47" w:anchor="_Toc47" w:history="1">
        <w:r>
          <w:t xml:space="preserve">II.</w:t>
        </w:r>
        <w:r>
          <w:tab/>
        </w:r>
        <w:r>
          <w:rPr>
            <w:rStyle w:val="1033"/>
          </w:rPr>
          <w:t xml:space="preserve">ИНФОРМАЦИОННАЯ КАРТА ЗАКУПКИ</w:t>
        </w:r>
        <w:r>
          <w:tab/>
        </w:r>
        <w:r>
          <w:fldChar w:fldCharType="begin"/>
        </w:r>
        <w:r>
          <w:instrText xml:space="preserve">PAGEREF _Toc47 \h</w:instrText>
        </w:r>
        <w:r>
          <w:fldChar w:fldCharType="separate"/>
        </w:r>
        <w:r>
          <w:t xml:space="preserve">24</w:t>
        </w:r>
        <w:r>
          <w:fldChar w:fldCharType="end"/>
        </w:r>
      </w:hyperlink>
      <w:r>
        <w:rPr>
          <w:rStyle w:val="1108"/>
        </w:rPr>
      </w:r>
      <w:r>
        <w:rPr>
          <w:rStyle w:val="1108"/>
        </w:rPr>
      </w:r>
    </w:p>
    <w:p>
      <w:pPr>
        <w:pStyle w:val="997"/>
        <w:tabs>
          <w:tab w:val="left" w:pos="567" w:leader="none"/>
          <w:tab w:val="right" w:pos="10195" w:leader="dot"/>
        </w:tabs>
        <w:rPr>
          <w:rStyle w:val="1108"/>
        </w:rPr>
      </w:pPr>
      <w:r/>
      <w:hyperlink w:tooltip="#_Toc48" w:anchor="_Toc48" w:history="1">
        <w:r>
          <w:t xml:space="preserve">III.</w:t>
        </w:r>
        <w:r>
          <w:tab/>
        </w:r>
        <w:r>
          <w:rPr>
            <w:rStyle w:val="1033"/>
          </w:rPr>
          <w:t xml:space="preserve">ОБРАЗЦЫ ФОРМ ДЛЯ ЗАПОЛНЕНИЯ УЧАСТНИКАМИ ЗАКУПКИ</w:t>
        </w:r>
        <w:r>
          <w:tab/>
        </w:r>
        <w:r>
          <w:t xml:space="preserve">3</w:t>
        </w:r>
      </w:hyperlink>
      <w:r>
        <w:t xml:space="preserve">9</w:t>
      </w:r>
      <w:r>
        <w:rPr>
          <w:rStyle w:val="1108"/>
        </w:rPr>
      </w:r>
      <w:r>
        <w:rPr>
          <w:rStyle w:val="1108"/>
        </w:rPr>
      </w:r>
    </w:p>
    <w:p>
      <w:pPr>
        <w:pStyle w:val="998"/>
        <w:tabs>
          <w:tab w:val="right" w:pos="10195" w:leader="dot"/>
        </w:tabs>
      </w:pPr>
      <w:r/>
      <w:hyperlink w:tooltip="#_Toc49" w:anchor="_Toc49" w:history="1">
        <w:r>
          <w:rPr>
            <w:rStyle w:val="1033"/>
          </w:rPr>
          <w:t xml:space="preserve">ФОРМА 1. ТЕХНИЧЕСКОЕ ПРЕДЛОЖЕНИЕ</w:t>
        </w:r>
        <w:r>
          <w:tab/>
        </w:r>
        <w:r>
          <w:t xml:space="preserve">3</w:t>
        </w:r>
      </w:hyperlink>
      <w:r>
        <w:t xml:space="preserve">9</w:t>
      </w:r>
      <w:r/>
    </w:p>
    <w:p>
      <w:pPr>
        <w:pStyle w:val="998"/>
        <w:tabs>
          <w:tab w:val="right" w:pos="10195" w:leader="dot"/>
        </w:tabs>
      </w:pPr>
      <w:r/>
      <w:hyperlink w:tooltip="#_Toc53" w:anchor="_Toc53" w:history="1">
        <w:r>
          <w:rPr>
            <w:rStyle w:val="1033"/>
          </w:rPr>
          <w:t xml:space="preserve">ФОРМА 2. СВЕДЕНИЯ ОБ УЧАСТНИКЕ ЗАКУПКИ</w:t>
        </w:r>
        <w:r>
          <w:tab/>
        </w:r>
        <w:r>
          <w:t xml:space="preserve">40</w:t>
        </w:r>
      </w:hyperlink>
      <w:r/>
      <w:r/>
    </w:p>
    <w:p>
      <w:pPr>
        <w:pStyle w:val="998"/>
        <w:tabs>
          <w:tab w:val="right" w:pos="10195" w:leader="dot"/>
        </w:tabs>
      </w:pPr>
      <w:r/>
      <w:hyperlink w:tooltip="#_Toc54" w:anchor="_Toc54" w:history="1">
        <w:r>
          <w:rPr>
            <w:rStyle w:val="1033"/>
          </w:rPr>
          <w:t xml:space="preserve">ФОРМА 3. </w:t>
        </w:r>
        <w:r>
          <w:rPr>
            <w:rStyle w:val="1033"/>
            <w:lang w:eastAsia="ar-SA"/>
          </w:rPr>
          <w:t xml:space="preserve">СВЕДЕНИЯ О НАИМЕНОВАНИИ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</w:t>
        </w:r>
        <w:r>
          <w:rPr>
            <w:rStyle w:val="1033"/>
          </w:rPr>
          <w:t xml:space="preserve">ИНФОРМАЦИЯ, ОПРЕДЕЛЕННАЯ В СООТВЕТСТВИИ С ПУНКТОМ 2 ЧАСТИ 2 СТАТЬИ 3.1-4 НАСТОЯЩЕ</w:t>
        </w:r>
        <w:r>
          <w:rPr>
            <w:rStyle w:val="1033"/>
            <w:lang w:eastAsia="ar-SA"/>
          </w:rPr>
          <w:t xml:space="preserve">ГО ЗАКОНА 223-ФЗ</w:t>
        </w:r>
        <w:r>
          <w:tab/>
        </w:r>
        <w:r>
          <w:t xml:space="preserve">4</w:t>
        </w:r>
        <w:r>
          <w:t xml:space="preserve">1</w:t>
        </w:r>
      </w:hyperlink>
      <w:r/>
      <w:r/>
    </w:p>
    <w:p>
      <w:pPr>
        <w:pStyle w:val="998"/>
        <w:tabs>
          <w:tab w:val="right" w:pos="10195" w:leader="dot"/>
        </w:tabs>
        <w:rPr>
          <w:caps/>
        </w:rPr>
      </w:pPr>
      <w:r/>
      <w:hyperlink w:tooltip="#_Toc57" w:anchor="_Toc57" w:history="1">
        <w:r>
          <w:rPr>
            <w:rStyle w:val="1033"/>
            <w:caps/>
          </w:rPr>
          <w:t xml:space="preserve">ФОРМА </w:t>
        </w:r>
        <w:r>
          <w:rPr>
            <w:rStyle w:val="1033"/>
            <w:caps/>
          </w:rPr>
          <w:t xml:space="preserve">4</w:t>
        </w:r>
        <w:r>
          <w:rPr>
            <w:rStyle w:val="1033"/>
            <w:caps/>
          </w:rPr>
          <w:t xml:space="preserve">. ДОВЕРЕННОСТЬ НА ПРЕДСТАВЛЕНИЕ ИНТЕРЕСОВ ЧЛЕНА КОЛЛЕКТИВНОГО УЧАСТНИКА</w:t>
        </w:r>
        <w:r>
          <w:tab/>
        </w:r>
        <w:r>
          <w:t xml:space="preserve">4</w:t>
        </w:r>
        <w:r>
          <w:t xml:space="preserve">3</w:t>
        </w:r>
      </w:hyperlink>
      <w:r>
        <w:rPr>
          <w:caps/>
        </w:rPr>
      </w:r>
      <w:r>
        <w:rPr>
          <w:caps/>
        </w:rPr>
      </w:r>
    </w:p>
    <w:p>
      <w:pPr>
        <w:pStyle w:val="998"/>
        <w:tabs>
          <w:tab w:val="right" w:pos="10195" w:leader="dot"/>
        </w:tabs>
      </w:pPr>
      <w:r/>
      <w:hyperlink w:tooltip="#_Toc58" w:anchor="_Toc58" w:history="1">
        <w:r>
          <w:rPr>
            <w:rStyle w:val="1033"/>
          </w:rPr>
          <w:t xml:space="preserve">ФОРМА 5</w:t>
        </w:r>
        <w:r>
          <w:rPr>
            <w:rStyle w:val="1033"/>
          </w:rPr>
          <w:t xml:space="preserve">. СВОДНАЯ ТАБЛИЦА СТОИМОСТИ ПОСТАВОК, РАБОТ (УСЛУГ)</w:t>
        </w:r>
        <w:r>
          <w:tab/>
        </w:r>
        <w:r>
          <w:t xml:space="preserve">4</w:t>
        </w:r>
      </w:hyperlink>
      <w:r>
        <w:t xml:space="preserve">5</w:t>
      </w:r>
      <w:r/>
    </w:p>
    <w:p>
      <w:pPr>
        <w:pStyle w:val="998"/>
        <w:tabs>
          <w:tab w:val="right" w:pos="10195" w:leader="dot"/>
        </w:tabs>
        <w:rPr>
          <w:caps/>
        </w:rPr>
      </w:pPr>
      <w:r/>
      <w:hyperlink w:tooltip="#_Toc59" w:anchor="_Toc59" w:history="1">
        <w:r>
          <w:rPr>
            <w:rStyle w:val="1033"/>
            <w:caps/>
          </w:rPr>
          <w:t xml:space="preserve">ФОРМА 6</w:t>
        </w:r>
        <w:r>
          <w:rPr>
            <w:rStyle w:val="1033"/>
            <w:caps/>
          </w:rPr>
          <w:t xml:space="preserve">. независимая гарантия на исполнение обязательств по договору</w:t>
        </w:r>
        <w:r>
          <w:tab/>
        </w:r>
        <w:r>
          <w:t xml:space="preserve">4</w:t>
        </w:r>
      </w:hyperlink>
      <w:r>
        <w:t xml:space="preserve">7</w:t>
      </w:r>
      <w:r>
        <w:rPr>
          <w:caps/>
        </w:rPr>
      </w:r>
      <w:r>
        <w:rPr>
          <w:caps/>
        </w:rPr>
      </w:r>
    </w:p>
    <w:p>
      <w:pPr>
        <w:pStyle w:val="997"/>
        <w:tabs>
          <w:tab w:val="left" w:pos="567" w:leader="none"/>
          <w:tab w:val="right" w:pos="10195" w:leader="dot"/>
        </w:tabs>
        <w:rPr>
          <w:rStyle w:val="1108"/>
        </w:rPr>
      </w:pPr>
      <w:r/>
      <w:hyperlink w:tooltip="#_Toc61" w:anchor="_Toc61" w:history="1">
        <w:r>
          <w:t xml:space="preserve">IV.</w:t>
        </w:r>
        <w:r>
          <w:tab/>
        </w:r>
        <w:r>
          <w:rPr>
            <w:rStyle w:val="1033"/>
          </w:rPr>
          <w:t xml:space="preserve">ПРОЕКТ ДОГОВОРА</w:t>
        </w:r>
        <w:r>
          <w:tab/>
        </w:r>
        <w:r>
          <w:t xml:space="preserve">5</w:t>
        </w:r>
        <w:r>
          <w:t xml:space="preserve">2</w:t>
        </w:r>
      </w:hyperlink>
      <w:r>
        <w:rPr>
          <w:rStyle w:val="1108"/>
        </w:rPr>
      </w:r>
      <w:r>
        <w:rPr>
          <w:rStyle w:val="1108"/>
        </w:rPr>
      </w:r>
    </w:p>
    <w:p>
      <w:pPr>
        <w:pStyle w:val="997"/>
        <w:tabs>
          <w:tab w:val="left" w:pos="567" w:leader="none"/>
          <w:tab w:val="right" w:pos="10195" w:leader="dot"/>
        </w:tabs>
        <w:rPr>
          <w:rStyle w:val="1108"/>
        </w:rPr>
      </w:pPr>
      <w:r/>
      <w:hyperlink w:tooltip="#_Toc63" w:anchor="_Toc63" w:history="1">
        <w:r>
          <w:t xml:space="preserve">V.</w:t>
        </w:r>
        <w:r>
          <w:tab/>
        </w:r>
        <w:r>
          <w:rPr>
            <w:rStyle w:val="1033"/>
          </w:rPr>
          <w:t xml:space="preserve">ТЕХНИЧЕСКАЯ ЧАСТЬ</w:t>
        </w:r>
        <w:r>
          <w:tab/>
        </w:r>
        <w:r>
          <w:t xml:space="preserve">5</w:t>
        </w:r>
      </w:hyperlink>
      <w:r>
        <w:t xml:space="preserve">3</w:t>
      </w:r>
      <w:r>
        <w:rPr>
          <w:rStyle w:val="1108"/>
        </w:rPr>
      </w:r>
      <w:r>
        <w:rPr>
          <w:rStyle w:val="1108"/>
        </w:rPr>
      </w:r>
    </w:p>
    <w:p>
      <w:pPr>
        <w:pStyle w:val="997"/>
        <w:tabs>
          <w:tab w:val="left" w:pos="567" w:leader="none"/>
          <w:tab w:val="right" w:pos="10195" w:leader="dot"/>
        </w:tabs>
        <w:rPr>
          <w:rStyle w:val="1108"/>
        </w:rPr>
      </w:pPr>
      <w:r/>
      <w:hyperlink w:tooltip="#_Toc64" w:anchor="_Toc64" w:history="1">
        <w:r>
          <w:t xml:space="preserve">VI.</w:t>
        </w:r>
        <w:r>
          <w:tab/>
        </w:r>
        <w:r>
          <w:rPr>
            <w:rStyle w:val="1033"/>
          </w:rPr>
          <w:t xml:space="preserve">ОБОСНОВАНИЕ НАЧАЛЬНОЙ (МАКСИМАЛЬНОЙ) ЦЕНЫ ДОГОВОРА</w:t>
        </w:r>
        <w:r>
          <w:tab/>
        </w:r>
        <w:r>
          <w:t xml:space="preserve">5</w:t>
        </w:r>
      </w:hyperlink>
      <w:r>
        <w:t xml:space="preserve">4</w:t>
      </w:r>
      <w:r>
        <w:rPr>
          <w:rStyle w:val="1108"/>
        </w:rPr>
      </w:r>
      <w:r>
        <w:rPr>
          <w:rStyle w:val="1108"/>
        </w:rPr>
      </w:r>
    </w:p>
    <w:p>
      <w:pPr>
        <w:pStyle w:val="805"/>
        <w:ind w:left="567" w:firstLine="0"/>
        <w:jc w:val="both"/>
        <w:pageBreakBefore/>
        <w:spacing w:before="0" w:after="0"/>
        <w:tabs>
          <w:tab w:val="clear" w:pos="432" w:leader="none"/>
        </w:tabs>
      </w:pPr>
      <w:r>
        <w:rPr>
          <w:b w:val="0"/>
          <w:bCs w:val="0"/>
          <w:i/>
          <w:iCs/>
          <w:caps/>
          <w:smallCaps/>
          <w:sz w:val="24"/>
          <w:szCs w:val="24"/>
        </w:rPr>
        <w:fldChar w:fldCharType="end"/>
      </w:r>
      <w:r/>
    </w:p>
    <w:p>
      <w:pPr>
        <w:pStyle w:val="805"/>
        <w:numPr>
          <w:ilvl w:val="0"/>
          <w:numId w:val="6"/>
        </w:numPr>
        <w:ind w:left="0" w:firstLine="567"/>
        <w:keepNext w:val="0"/>
        <w:spacing w:before="0" w:after="0"/>
        <w:rPr>
          <w:rStyle w:val="1108"/>
          <w:b/>
          <w:bCs/>
          <w:caps/>
          <w:sz w:val="24"/>
          <w:szCs w:val="24"/>
        </w:rPr>
      </w:pPr>
      <w:r/>
      <w:bookmarkStart w:id="1" w:name="_Ref166642713"/>
      <w:r/>
      <w:bookmarkStart w:id="2" w:name="_Toc2"/>
      <w:r>
        <w:rPr>
          <w:rStyle w:val="1108"/>
          <w:b/>
          <w:bCs/>
          <w:caps/>
          <w:sz w:val="24"/>
          <w:szCs w:val="24"/>
        </w:rPr>
        <w:t xml:space="preserve">ОБЩИЕ УСЛОВИЯ ПРОВЕДЕНИЯ </w:t>
      </w:r>
      <w:bookmarkEnd w:id="1"/>
      <w:r>
        <w:rPr>
          <w:rStyle w:val="1108"/>
          <w:b/>
          <w:bCs/>
          <w:caps/>
          <w:sz w:val="24"/>
          <w:szCs w:val="24"/>
        </w:rPr>
        <w:t xml:space="preserve">закупки</w:t>
      </w:r>
      <w:bookmarkEnd w:id="2"/>
      <w:r>
        <w:rPr>
          <w:rStyle w:val="1108"/>
          <w:b/>
          <w:bCs/>
          <w:caps/>
          <w:sz w:val="24"/>
          <w:szCs w:val="24"/>
        </w:rPr>
      </w:r>
      <w:r>
        <w:rPr>
          <w:rStyle w:val="1108"/>
          <w:b/>
          <w:bCs/>
          <w:caps/>
          <w:sz w:val="24"/>
          <w:szCs w:val="24"/>
        </w:rPr>
      </w:r>
    </w:p>
    <w:p>
      <w:r/>
      <w:r/>
    </w:p>
    <w:p>
      <w:pPr>
        <w:pStyle w:val="805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3" w:name="_Ref166101247"/>
      <w:r/>
      <w:bookmarkStart w:id="4" w:name="_Ref166101251"/>
      <w:r/>
      <w:bookmarkStart w:id="5" w:name="_Toc3"/>
      <w:r>
        <w:rPr>
          <w:sz w:val="24"/>
          <w:szCs w:val="24"/>
        </w:rPr>
        <w:t xml:space="preserve">ОБЩИЕ ПОЛОЖЕНИЯ</w:t>
      </w:r>
      <w:bookmarkEnd w:id="3"/>
      <w:r/>
      <w:bookmarkEnd w:id="4"/>
      <w:r/>
      <w:bookmarkEnd w:id="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6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6" w:name="_Toc4"/>
      <w:r>
        <w:rPr>
          <w:sz w:val="24"/>
          <w:szCs w:val="24"/>
        </w:rPr>
        <w:t xml:space="preserve">Правовой статус документов</w:t>
      </w:r>
      <w:bookmarkEnd w:id="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26"/>
        <w:numPr>
          <w:ilvl w:val="2"/>
          <w:numId w:val="1"/>
        </w:numPr>
        <w:ind w:left="0" w:firstLine="567"/>
        <w:jc w:val="both"/>
      </w:pPr>
      <w:r/>
      <w:bookmarkStart w:id="7" w:name="_Ref119427085"/>
      <w:r/>
      <w:bookmarkStart w:id="8" w:name="_Ref11225299"/>
      <w:r>
        <w:t xml:space="preserve">Настоящая документация о закупке подготовлена в соответствии </w:t>
      </w:r>
      <w:bookmarkEnd w:id="7"/>
      <w:r>
        <w:t xml:space="preserve">с требованиями Федерального закона от 18.07.2011 № 223-ФЗ «О закупке товаров, работ, услуг отдельными видами</w:t>
      </w:r>
      <w:r>
        <w:t xml:space="preserve"> юридических лиц» (далее –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>
        <w:rPr>
          <w:bCs/>
        </w:rPr>
        <w:t xml:space="preserve">Единого стандарта закупок Публичного акционерного общества «Федеральная сетевая компания - Россети» (сокращенное наименование - ПАО «Россети») (далее – Стандарт, Положение о закупке)</w:t>
      </w:r>
      <w:r>
        <w:t xml:space="preserve">, утвержденного решением Совета директоров ПАО «Россети» (протокол от 30.12.2022 № 604/6).</w:t>
      </w:r>
      <w:r/>
    </w:p>
    <w:p>
      <w:pPr>
        <w:pStyle w:val="1126"/>
        <w:numPr>
          <w:ilvl w:val="2"/>
          <w:numId w:val="1"/>
        </w:numPr>
        <w:ind w:left="0" w:firstLine="567"/>
        <w:jc w:val="both"/>
      </w:pPr>
      <w:r>
        <w:t xml:space="preserve">Термины и определения, применяемые в настоящей документации о закупке и приложениях к ней, ис</w:t>
      </w:r>
      <w:r>
        <w:t xml:space="preserve">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Стандарту, если настоящей документацией о закупке не установлено иное.</w:t>
      </w:r>
      <w:r/>
    </w:p>
    <w:p>
      <w:pPr>
        <w:pStyle w:val="1126"/>
        <w:numPr>
          <w:ilvl w:val="2"/>
          <w:numId w:val="1"/>
        </w:numPr>
        <w:ind w:left="0" w:firstLine="567"/>
        <w:jc w:val="both"/>
      </w:pPr>
      <w:r>
        <w:t xml:space="preserve">Извещение о закупке и настоящая документация о закупке, размещенные Заказчиком в Единой информационной системе в сфере закупок товаров, рабо</w:t>
      </w:r>
      <w:r>
        <w:t xml:space="preserve">т, услуг для обеспечения государственных и муниципальных нужд (далее – единая информационная система, ЕИС), являются офертой Заказчика и должны рассматриваться участниками закупки в соответствии с этим в течение срока, определенного для проведения закупки.</w:t>
      </w:r>
      <w:r/>
    </w:p>
    <w:p>
      <w:pPr>
        <w:pStyle w:val="1126"/>
        <w:numPr>
          <w:ilvl w:val="2"/>
          <w:numId w:val="1"/>
        </w:numPr>
        <w:ind w:left="0" w:firstLine="567"/>
        <w:jc w:val="both"/>
      </w:pPr>
      <w:r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Заказчиком в соответствии с этим.</w:t>
      </w:r>
      <w:r/>
    </w:p>
    <w:p>
      <w:pPr>
        <w:pStyle w:val="1126"/>
        <w:numPr>
          <w:ilvl w:val="2"/>
          <w:numId w:val="1"/>
        </w:numPr>
        <w:ind w:left="0" w:firstLine="567"/>
        <w:jc w:val="both"/>
      </w:pPr>
      <w:r>
        <w:t xml:space="preserve">Во всем, что не урегулировано извещением о закупке и настоящей документацией о закупке, 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закупке Заказчика.</w:t>
      </w:r>
      <w:r/>
    </w:p>
    <w:p>
      <w:pPr>
        <w:pStyle w:val="1126"/>
        <w:numPr>
          <w:ilvl w:val="2"/>
          <w:numId w:val="1"/>
        </w:numPr>
        <w:ind w:left="0" w:firstLine="567"/>
        <w:jc w:val="both"/>
      </w:pPr>
      <w:r>
        <w:t xml:space="preserve">Если в отношении сторон договора, заключае</w:t>
      </w:r>
      <w:r>
        <w:t xml:space="preserve">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  <w:r/>
    </w:p>
    <w:p>
      <w:pPr>
        <w:pStyle w:val="80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9" w:name="_Toc5"/>
      <w:r>
        <w:rPr>
          <w:sz w:val="24"/>
          <w:szCs w:val="24"/>
        </w:rPr>
        <w:t xml:space="preserve">Заказчик, предмет и условия проведения закупки.</w:t>
      </w:r>
      <w:bookmarkEnd w:id="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0" w:name="_Ref166267341"/>
      <w:r>
        <w:rPr>
          <w:rFonts w:ascii="Times New Roman" w:hAnsi="Times New Roman" w:cs="Times New Roman"/>
          <w:b w:val="0"/>
          <w:bCs w:val="0"/>
        </w:rPr>
        <w:t xml:space="preserve">Заказчик, указанный в пункте 1 части II «ИНФОРМАЦИОННАЯ КАРТА ЗАКУПКИ» настоящей документации о закупке соответственно (далее по тексту ссылки на разделы, подразделы, пункты и подпункты относятся исключительно к настоя</w:t>
      </w:r>
      <w:r>
        <w:rPr>
          <w:rFonts w:ascii="Times New Roman" w:hAnsi="Times New Roman" w:cs="Times New Roman"/>
          <w:b w:val="0"/>
          <w:bCs w:val="0"/>
        </w:rPr>
        <w:t xml:space="preserve">щей документации о закупке, если рядом с такой ссылкой не указано иного), проводит закупку, предмет и условия которой указаны в части II «ИНФОРМАЦИОННАЯ КАРТА ЗАКУПКИ», в соответствии с процедурами, условиями и положениями настоящей документации о закупке.</w:t>
      </w:r>
      <w:bookmarkEnd w:id="10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</w:t>
      </w:r>
      <w:r>
        <w:rPr>
          <w:rFonts w:ascii="Times New Roman" w:hAnsi="Times New Roman" w:cs="Times New Roman"/>
          <w:b w:val="0"/>
          <w:bCs w:val="0"/>
        </w:rPr>
        <w:t xml:space="preserve">ом (в случае принятия такого решения) должна быть указана в пункте 2 части II «ИНФОРМАЦИОННАЯ КАРТА ЗАКУПКИ». 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6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11" w:name="_Toc6"/>
      <w:r>
        <w:rPr>
          <w:sz w:val="24"/>
          <w:szCs w:val="24"/>
        </w:rPr>
        <w:t xml:space="preserve">Начальная (максимальная) цена договора</w:t>
      </w:r>
      <w:bookmarkEnd w:id="1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numPr>
          <w:ilvl w:val="2"/>
          <w:numId w:val="1"/>
        </w:numPr>
        <w:ind w:left="0" w:firstLine="567"/>
        <w:spacing w:before="0" w:after="0"/>
        <w:rPr>
          <w:rFonts w:ascii="Times New Roman" w:hAnsi="Times New Roman" w:cs="Times New Roman"/>
          <w:b w:val="0"/>
        </w:rPr>
      </w:pPr>
      <w:r/>
      <w:bookmarkStart w:id="12" w:name="_Ref166311292"/>
      <w:r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указана в извещении о закупке и пункте 5 части II «ИНФОРМАЦИОННАЯ КАРТА ЗАКУПКИ». </w:t>
      </w:r>
      <w:bookmarkEnd w:id="12"/>
      <w:r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может быть указана Заказчиком в виде </w:t>
      </w:r>
      <w:r>
        <w:rPr>
          <w:rFonts w:ascii="Times New Roman" w:hAnsi="Times New Roman" w:cs="Times New Roman"/>
          <w:b w:val="0"/>
        </w:rPr>
        <w:t xml:space="preserve">сведений о начальной (максимальной) цене договора, либо формулы цены и максимального значения цены договора, либо цены единицы товара, работы, услуги и максимального значения цены договора. В случае если по результатам </w:t>
      </w:r>
      <w:r>
        <w:rPr>
          <w:rFonts w:ascii="Times New Roman" w:hAnsi="Times New Roman" w:cs="Times New Roman"/>
          <w:b w:val="0"/>
        </w:rPr>
        <w:t xml:space="preserve">закупки в соответствии с условиями документации о закупке может быть заключено несколько договоров, в том числе с несколькими заказчиками, начальная (максимальная) цена договора может включать в себя указание начальных максимальных цен отдельных договоров.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7"/>
        <w:numPr>
          <w:ilvl w:val="2"/>
          <w:numId w:val="1"/>
        </w:numPr>
        <w:ind w:left="0" w:firstLine="567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Обоснование начальной (максимальной) цены договора, либо цены единицы товара, работы, услуги указано в пункте 5.1.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6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13" w:name="_Toc7"/>
      <w:r>
        <w:rPr>
          <w:sz w:val="24"/>
          <w:szCs w:val="24"/>
        </w:rPr>
        <w:t xml:space="preserve">Требования к участникам закупки</w:t>
      </w:r>
      <w:bookmarkEnd w:id="1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Участником закупки может быть любое юридическое лицо (или несколько юридически</w:t>
      </w:r>
      <w:r>
        <w:rPr>
          <w:rFonts w:ascii="Times New Roman" w:hAnsi="Times New Roman" w:cs="Times New Roman"/>
          <w:b w:val="0"/>
          <w:bCs w:val="0"/>
        </w:rPr>
        <w:t xml:space="preserve">х лиц, выступающих на стороне одного участника закупки), являющиеся субъектами малого или среднего предпринимательства (далее – субъекты МСП), за исключением юридического лица, являющегося иностранным агентом в соответствии с Федеральным законом от 14 июля</w:t>
      </w:r>
      <w:r>
        <w:rPr>
          <w:rFonts w:ascii="Times New Roman" w:hAnsi="Times New Roman" w:cs="Times New Roman"/>
          <w:b w:val="0"/>
          <w:bCs w:val="0"/>
        </w:rPr>
        <w:t xml:space="preserve">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субъектами МСП,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за исключением физического лица, я</w:t>
      </w:r>
      <w:r>
        <w:rPr>
          <w:rFonts w:ascii="Times New Roman" w:hAnsi="Times New Roman" w:cs="Times New Roman"/>
          <w:b w:val="0"/>
          <w:bCs w:val="0"/>
        </w:rPr>
        <w:t xml:space="preserve">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 В течение срока проведения эксперимента, установленного Федеральным законом от 27 ноя</w:t>
      </w:r>
      <w:r>
        <w:rPr>
          <w:rFonts w:ascii="Times New Roman" w:hAnsi="Times New Roman" w:cs="Times New Roman"/>
          <w:b w:val="0"/>
          <w:bCs w:val="0"/>
        </w:rPr>
        <w:t xml:space="preserve">бря 2018 года № 422-ФЗ 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</w:t>
      </w:r>
      <w:r>
        <w:rPr>
          <w:rFonts w:ascii="Times New Roman" w:hAnsi="Times New Roman" w:cs="Times New Roman"/>
          <w:b w:val="0"/>
          <w:bCs w:val="0"/>
        </w:rPr>
        <w:t xml:space="preserve"> налоговый режим «Налог на профессиональный доход»,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</w:t>
      </w:r>
      <w:r>
        <w:rPr>
          <w:rFonts w:ascii="Times New Roman" w:hAnsi="Times New Roman" w:cs="Times New Roman"/>
          <w:b w:val="0"/>
          <w:bCs w:val="0"/>
        </w:rPr>
        <w:t xml:space="preserve">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требованиями действующего законодательства.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4" w:name="_Ref166312025"/>
      <w:r>
        <w:rPr>
          <w:rFonts w:ascii="Times New Roman" w:hAnsi="Times New Roman" w:cs="Times New Roman"/>
          <w:b w:val="0"/>
          <w:bCs w:val="0"/>
        </w:rPr>
        <w:t xml:space="preserve">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закупке, должен удовлетворять требованиям, установленным в пункте 9 части II «ИНФОРМАЦИОННАЯ КАРТА ЗАКУПКИ».</w:t>
      </w:r>
      <w:bookmarkEnd w:id="14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</w:t>
      </w:r>
      <w:r>
        <w:rPr>
          <w:rFonts w:ascii="Times New Roman" w:hAnsi="Times New Roman" w:cs="Times New Roman"/>
          <w:b w:val="0"/>
        </w:rPr>
        <w:t xml:space="preserve">ным законом от 5 апреля 2013 года № 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Заказчиком, в пункте 11 части II «ИНФОРМАЦИОННАЯ КАРТА ЗАКУПКИ».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при оценке соответствия заявки отборочным критериям (требованиям) каждый член коллективного участника должен отвечать условиям извещения о заку</w:t>
      </w:r>
      <w:r>
        <w:rPr>
          <w:rFonts w:ascii="Times New Roman" w:hAnsi="Times New Roman" w:cs="Times New Roman"/>
          <w:b w:val="0"/>
        </w:rPr>
        <w:t xml:space="preserve">пке и (или) документации о закупке в части требований, не подлежащих суммированию (наличию гражданской правоспособности в полном объеме, не нахождения в процессе ликвидации, отсутствия в реестре недобросовестных поставщиков и т.п.). Количественные параметр</w:t>
      </w:r>
      <w:r>
        <w:rPr>
          <w:rFonts w:ascii="Times New Roman" w:hAnsi="Times New Roman" w:cs="Times New Roman"/>
          <w:b w:val="0"/>
        </w:rPr>
        <w:t xml:space="preserve">ы деятельности каждого члена коллективного участника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коллективный участник будет признаваться соответ</w:t>
      </w:r>
      <w:r>
        <w:rPr>
          <w:rFonts w:ascii="Times New Roman" w:hAnsi="Times New Roman" w:cs="Times New Roman"/>
          <w:b w:val="0"/>
        </w:rPr>
        <w:t xml:space="preserve">ствующим требованиям, установленным в документации о закупке в случае наличия специальной правоспособности у члена коллективного участника, который будет поставлять соответствующие товары, выполнять соответствующие работы, оказывать соответствующие услуги.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</w:t>
      </w:r>
      <w:r>
        <w:rPr>
          <w:rFonts w:ascii="Times New Roman" w:hAnsi="Times New Roman" w:cs="Times New Roman"/>
          <w:b w:val="0"/>
        </w:rPr>
        <w:t xml:space="preserve">принимать участие в данной закупке самостоятельно, либо в качестве субподрядчиков (соисполнителей, субпоставщиков) у других участников закупки. В случае невыполнения этих требований заявки с участием таких лиц будут отклонены без рассмотрения по существу. </w:t>
      </w:r>
      <w:r>
        <w:rPr>
          <w:rFonts w:ascii="Times New Roman" w:hAnsi="Times New Roman" w:cs="Times New Roman"/>
          <w:b w:val="0"/>
        </w:rPr>
        <w:t xml:space="preserve">Любое юридическое либо или индивидуальный предприниматель, не принимающее участие в данной закупке самостоятельно, либо в составе коллективного участника, может являться субподрядчиком/соисполнителем/субпоставщиком у произвольного числа участников закупки.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5" w:name="_Ref535962934"/>
      <w:r>
        <w:rPr>
          <w:rFonts w:ascii="Times New Roman" w:hAnsi="Times New Roman" w:cs="Times New Roman"/>
          <w:b w:val="0"/>
          <w:bCs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</w:t>
      </w:r>
      <w:r>
        <w:rPr>
          <w:rFonts w:ascii="Times New Roman" w:hAnsi="Times New Roman" w:cs="Times New Roman"/>
          <w:b w:val="0"/>
          <w:bCs w:val="0"/>
        </w:rPr>
        <w:t xml:space="preserve">льства и закупки товаров, работ, услуг,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субподрядчикам, соисполнителям и (или) изготовителям товара, явл</w:t>
      </w:r>
      <w:r>
        <w:rPr>
          <w:rFonts w:ascii="Times New Roman" w:hAnsi="Times New Roman" w:cs="Times New Roman"/>
          <w:b w:val="0"/>
          <w:bCs w:val="0"/>
        </w:rPr>
        <w:t xml:space="preserve">яющегося предметом закупки, и перечень документов,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13 части II «ИНФОРМАЦИОННАЯ КАРТА ЗАКУПКИ»</w:t>
      </w:r>
      <w:bookmarkEnd w:id="15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6"/>
        <w:numPr>
          <w:ilvl w:val="1"/>
          <w:numId w:val="1"/>
        </w:numPr>
        <w:ind w:left="0" w:firstLine="567"/>
        <w:jc w:val="both"/>
        <w:keepNext w:val="0"/>
        <w:spacing w:after="0"/>
        <w:tabs>
          <w:tab w:val="left" w:pos="1276" w:leader="none"/>
        </w:tabs>
        <w:rPr>
          <w:sz w:val="24"/>
          <w:szCs w:val="24"/>
        </w:rPr>
      </w:pPr>
      <w:r/>
      <w:bookmarkStart w:id="16" w:name="_Toc8"/>
      <w:r>
        <w:rPr>
          <w:sz w:val="24"/>
          <w:szCs w:val="24"/>
        </w:rPr>
        <w:t xml:space="preserve">Привлечение соисполнителей (субподрядчиков, субпоставщиков) к исполнению договора</w:t>
      </w:r>
      <w:bookmarkEnd w:id="1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</w:t>
      </w:r>
      <w:r>
        <w:rPr>
          <w:rFonts w:ascii="Times New Roman" w:hAnsi="Times New Roman" w:cs="Times New Roman"/>
          <w:b w:val="0"/>
          <w:bCs w:val="0"/>
        </w:rPr>
        <w:t xml:space="preserve">ник закупки вправе привлечь к исполнению договора соисполнителей (субподрядчиков, субпоставщиков) в случае, если это допускается положениями Гражданского кодекса Российской Федерации для соответствующего предмету договора виду гражданско-правового договора</w:t>
      </w:r>
      <w:bookmarkStart w:id="17" w:name="_Ref354131841"/>
      <w:r/>
      <w:bookmarkStart w:id="18" w:name="_Ref11495519"/>
      <w:r>
        <w:rPr>
          <w:rFonts w:ascii="Times New Roman" w:hAnsi="Times New Roman" w:cs="Times New Roman"/>
          <w:b w:val="0"/>
          <w:bCs w:val="0"/>
        </w:rPr>
        <w:t xml:space="preserve">, </w:t>
      </w:r>
      <w:bookmarkStart w:id="19" w:name="_Ref354131847"/>
      <w:r/>
      <w:bookmarkEnd w:id="17"/>
      <w:r>
        <w:rPr>
          <w:rFonts w:ascii="Times New Roman" w:hAnsi="Times New Roman" w:cs="Times New Roman"/>
          <w:b w:val="0"/>
          <w:bCs w:val="0"/>
        </w:rPr>
        <w:t xml:space="preserve">а также если это не запрещено частями IV и/или V настоящей документации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rPr>
          <w:i/>
        </w:rPr>
      </w:pPr>
      <w:r>
        <w:rPr>
          <w:i/>
        </w:rPr>
      </w:r>
      <w:r>
        <w:rPr>
          <w:i/>
        </w:rPr>
      </w:r>
      <w:r>
        <w:rPr>
          <w:i/>
        </w:rPr>
      </w:r>
    </w:p>
    <w:p>
      <w:pPr>
        <w:pStyle w:val="80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0" w:name="_Toc9"/>
      <w:r/>
      <w:bookmarkEnd w:id="19"/>
      <w:r>
        <w:rPr>
          <w:sz w:val="24"/>
          <w:szCs w:val="24"/>
        </w:rPr>
        <w:t xml:space="preserve">Расходы на участие в закупке и при заключении договора</w:t>
      </w:r>
      <w:bookmarkEnd w:id="2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numPr>
          <w:ilvl w:val="2"/>
          <w:numId w:val="1"/>
        </w:numPr>
        <w:ind w:left="0" w:firstLine="567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закупке, участием в закупке и заключением </w:t>
      </w:r>
      <w:bookmarkEnd w:id="18"/>
      <w:r>
        <w:rPr>
          <w:rFonts w:ascii="Times New Roman" w:hAnsi="Times New Roman" w:cs="Times New Roman"/>
          <w:b w:val="0"/>
          <w:bCs w:val="0"/>
        </w:rPr>
        <w:t xml:space="preserve">договора, а Заказчик не имеет обязательств в связи с такими расходами, за исключением случаев, прямо предусмотренных законодательством Российской Федерации.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6"/>
        <w:numPr>
          <w:ilvl w:val="1"/>
          <w:numId w:val="1"/>
        </w:numPr>
        <w:ind w:left="0" w:firstLine="567"/>
        <w:jc w:val="both"/>
        <w:keepNext w:val="0"/>
        <w:spacing w:after="0"/>
        <w:widowControl w:val="off"/>
        <w:tabs>
          <w:tab w:val="num" w:pos="0" w:leader="none"/>
          <w:tab w:val="clear" w:pos="576" w:leader="none"/>
        </w:tabs>
        <w:rPr>
          <w:sz w:val="24"/>
          <w:szCs w:val="24"/>
        </w:rPr>
      </w:pPr>
      <w:r/>
      <w:bookmarkStart w:id="21" w:name="_Toc10"/>
      <w:r>
        <w:rPr>
          <w:sz w:val="24"/>
          <w:szCs w:val="24"/>
        </w:rPr>
        <w:t xml:space="preserve">Запрет, ограничение закупок товаров (в том числе поставляемых при выполнении закупаемых работ, оказании закупаемых услуг), про</w:t>
      </w:r>
      <w:r>
        <w:rPr>
          <w:sz w:val="24"/>
          <w:szCs w:val="24"/>
        </w:rPr>
        <w:t xml:space="preserve">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</w:t>
      </w:r>
      <w:bookmarkEnd w:id="2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Запрет, ограничение закупок товаров </w:t>
      </w:r>
      <w:r>
        <w:rPr>
          <w:rFonts w:ascii="Times New Roman" w:hAnsi="Times New Roman" w:cs="Times New Roman"/>
          <w:b w:val="0"/>
          <w:bCs w:val="0"/>
        </w:rPr>
        <w:t xml:space="preserve">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</w:t>
      </w:r>
      <w:r>
        <w:rPr>
          <w:rFonts w:ascii="Times New Roman" w:hAnsi="Times New Roman" w:cs="Times New Roman"/>
          <w:b w:val="0"/>
          <w:bCs w:val="0"/>
        </w:rPr>
        <w:t xml:space="preserve">ения (в том числе поставляемых при выполнении закупаемых работ, оказании закупаемых услуг) устанавливаются в соответствии с требованиями статьи 3.1-4 Закона 223-ФЗ и постановления Правительства Российской Федерации от 23.12.2024 № 1875 (далее - ПП № 1875).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Применение запрета, ограничения, преимущества, рассмотрение заявок участников в случае их установления, осуществляется Заказчиком в порядке и в соответствии с требованиями Закона 223-ФЗ и ПП № 1875.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Информация и документы, подтверждающие страну происхождения товара для целей ПП № 1875, </w:t>
      </w:r>
      <w:r>
        <w:rPr>
          <w:rFonts w:ascii="Times New Roman" w:hAnsi="Times New Roman" w:cs="Times New Roman"/>
          <w:b w:val="0"/>
          <w:bCs w:val="0"/>
        </w:rPr>
        <w:t xml:space="preserve">определены пунктом 3 ПП № 1875, при этом </w:t>
      </w:r>
      <w:r>
        <w:rPr>
          <w:rFonts w:ascii="Times New Roman" w:hAnsi="Times New Roman" w:cs="Times New Roman"/>
          <w:b w:val="0"/>
          <w:bCs w:val="0"/>
          <w:u w:val="single"/>
        </w:rPr>
        <w:t xml:space="preserve">в случаях, определенных ПП № 1875</w:t>
      </w:r>
      <w:r>
        <w:rPr>
          <w:rFonts w:ascii="Times New Roman" w:hAnsi="Times New Roman" w:cs="Times New Roman"/>
          <w:b w:val="0"/>
          <w:bCs w:val="0"/>
        </w:rPr>
        <w:t xml:space="preserve">: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- для подтверждения товаров российского происхождения информация о совокупном количестве баллов (если в отношении т</w:t>
      </w:r>
      <w:r>
        <w:rPr>
          <w:rFonts w:ascii="Times New Roman" w:hAnsi="Times New Roman" w:cs="Times New Roman"/>
          <w:b w:val="0"/>
          <w:bCs w:val="0"/>
        </w:rPr>
        <w:t xml:space="preserve">акого товара постановлением Правительства РФ от 17.07.2015 N 719 (далее - ПП № 719) за выполнение (освоение) на территории Российской Федерации соответствующих операций (условий) установлены требования о совокупном количестве баллов) на предлагаемый участн</w:t>
      </w:r>
      <w:r>
        <w:rPr>
          <w:rFonts w:ascii="Times New Roman" w:hAnsi="Times New Roman" w:cs="Times New Roman"/>
          <w:b w:val="0"/>
          <w:bCs w:val="0"/>
        </w:rPr>
        <w:t xml:space="preserve">иком закупки товар должна составлять или превышать значение, определенное постановлением ПП № 719, включая значение, определенное для целей осуществления закупок (если ПП № 719 в отношении такого товара определено значение для целей осуществления закупок);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- заявка на участие в закупке, в которой содержится предложение о поставке товара российского происхождения, являющегося радиоэлектронной продукцией, не признанной в соответствии с ПП № 719 радиоэлектронной продукцией первого уровня, прир</w:t>
      </w:r>
      <w:r>
        <w:rPr>
          <w:rFonts w:ascii="Times New Roman" w:hAnsi="Times New Roman" w:cs="Times New Roman"/>
          <w:b w:val="0"/>
          <w:bCs w:val="0"/>
        </w:rPr>
        <w:t xml:space="preserve">авнивается к заявке на участие в закупке, в которой содержится предложение о поставке товара, происходящего из иностранного государства, если на участие в такой закупке подана заявка на участие в закупке, признанная по результатам ее рассмотрения соответст</w:t>
      </w:r>
      <w:r>
        <w:rPr>
          <w:rFonts w:ascii="Times New Roman" w:hAnsi="Times New Roman" w:cs="Times New Roman"/>
          <w:b w:val="0"/>
          <w:bCs w:val="0"/>
        </w:rPr>
        <w:t xml:space="preserve">вующей установленным в соответствии с Законом 223-ФЗ требованиям и содержащая предложение о поставке товара российского происхождения, являющегося радиоэлектронной продукцией, признанной в соответствии с ПП № 719 радиоэлектронной продукцией первого уровня;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  <w:spacing w:after="0"/>
      </w:pPr>
      <w:r>
        <w:t xml:space="preserve">-  заявка на участие в закупке, в которой содержится предложение программного обеспечения, реестровая запись о котором в реестре российского программного обеспечения или реестре евразийского программного обеспечения н</w:t>
      </w:r>
      <w:r>
        <w:t xml:space="preserve">е содержит информацию о соответствии предлагаемого программного обеспечения дополнительным требованиям к программному обеспечению, приравнивается к заявке на участие в закупке, в которой содержится предложение программного обеспечения, происходящего из ино</w:t>
      </w:r>
      <w:r>
        <w:t xml:space="preserve">странного государства, если на участие в такой закупке подана заявка на участие в закупке, признанная по результатам ее рассмотрения соответствующей установленным в соответствии с Законом 223-ФЗ требованиям и содержащая предложение о программном обеспечени</w:t>
      </w:r>
      <w:r>
        <w:t xml:space="preserve">и,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обеспечению;</w:t>
      </w:r>
      <w:r/>
    </w:p>
    <w:p>
      <w:pPr>
        <w:ind w:firstLine="567"/>
        <w:spacing w:after="0"/>
      </w:pPr>
      <w:r>
        <w:t xml:space="preserve">- до внесения изменений в право Евразийского экономического союза (далее – ЕАЭС), предусматривающих подтверждение страны происхождения товаров, указанных в приложениях № 1 (запреты), 2 (ограничения) к ПП № 1875, путем предоставлени</w:t>
      </w:r>
      <w:r>
        <w:t xml:space="preserve">я информации из евразийского реестра промышленных товаров, документом, подтверждающим происхождение таких товаров из государств - членов ЕАЭС, за исключением Российской Федерации, является сертификат о происхождении товара, выданный уполномоченным органом </w:t>
      </w:r>
      <w:r>
        <w:t xml:space="preserve">(организацией) государства - члена ЕАЭС по форме, установленной Правилами определения страны происхождения товаров, и в соответствии с критериями определения страны происхождения товаров, предусмотренными Правилами определения страны происхождения товаров.</w:t>
      </w:r>
      <w:r/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Информация о применении запрета, ограничения, преимущества к закупаемым товарам (в том числе поставляемым при выполнении закупаемых работ, оказании закупаемых услуг), содержится в составе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  <w:bCs w:val="0"/>
        </w:rPr>
        <w:t xml:space="preserve">«ТЕХНИЧЕСКАЯ ЧАСТЬ».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отношении закупаемых товаров (в том числе поставляемым при выполнении </w:t>
      </w:r>
      <w:r>
        <w:rPr>
          <w:rFonts w:ascii="Times New Roman" w:hAnsi="Times New Roman" w:cs="Times New Roman"/>
          <w:b w:val="0"/>
          <w:bCs w:val="0"/>
        </w:rPr>
        <w:t xml:space="preserve">закупаемых работ, оказании закупаемых услуг), работ, услуг, установлен запрет, не допускается заключение договора на поставку такого товара, происходящего из иностранных государств, работ, услуг, соответственно выполняемых, оказываемых иностранными лицами.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отношении закупаемых товаров (в том числе поставляемым при выполнении закупаемых работ, оказании закупаемых услуг), установлено ограни</w:t>
      </w:r>
      <w:r>
        <w:rPr>
          <w:rFonts w:ascii="Times New Roman" w:hAnsi="Times New Roman" w:cs="Times New Roman"/>
          <w:b w:val="0"/>
          <w:bCs w:val="0"/>
        </w:rPr>
        <w:t xml:space="preserve">чение, не допускается заключение договора на поставку такого товара, происходящего из иностранного государства, если поданы заявка на участие в закупке, окончательное предложение, признанные по результатам их рассмотрения соответствующими требованиям Полож</w:t>
      </w:r>
      <w:r>
        <w:rPr>
          <w:rFonts w:ascii="Times New Roman" w:hAnsi="Times New Roman" w:cs="Times New Roman"/>
          <w:b w:val="0"/>
          <w:bCs w:val="0"/>
        </w:rPr>
        <w:t xml:space="preserve">ения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 и содержащие предложения о поставке товара российского происхождения.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отношении закупаемых работ, услуг установлено ограничение, не допускается заключение договора с участником закупки, являющимся иностранным лицом, если российским лицом поданы заявка на участие в закупке, окончательное предложение, признан</w:t>
      </w:r>
      <w:r>
        <w:rPr>
          <w:rFonts w:ascii="Times New Roman" w:hAnsi="Times New Roman" w:cs="Times New Roman"/>
          <w:b w:val="0"/>
          <w:bCs w:val="0"/>
        </w:rPr>
        <w:t xml:space="preserve">ные по результатам их рассмотрения соответствующими требованиям Положения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отношении закупаемых товаров (в том числе поставляемым при выполнении закупаемых работ, оказании закупаемых услуг), установлено преимуще</w:t>
      </w:r>
      <w:r>
        <w:rPr>
          <w:rFonts w:ascii="Times New Roman" w:hAnsi="Times New Roman" w:cs="Times New Roman"/>
          <w:b w:val="0"/>
          <w:bCs w:val="0"/>
        </w:rPr>
        <w:t xml:space="preserve">ство, 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Положением о закупке участником закупки, пре</w:t>
      </w:r>
      <w:r>
        <w:rPr>
          <w:rFonts w:ascii="Times New Roman" w:hAnsi="Times New Roman" w:cs="Times New Roman"/>
          <w:b w:val="0"/>
          <w:bCs w:val="0"/>
        </w:rPr>
        <w:t xml:space="preserve">длагающим к поставке товар только российского происхождения, при условии, что в числе заявок на участие в закупке (окончательных предложений), которые рассматриваются, оцениваются, сопоставляются, имеется заявка на участие в закупке, которая не отклонена и</w:t>
      </w:r>
      <w:r>
        <w:rPr>
          <w:rFonts w:ascii="Times New Roman" w:hAnsi="Times New Roman" w:cs="Times New Roman"/>
          <w:b w:val="0"/>
          <w:bCs w:val="0"/>
        </w:rPr>
        <w:t xml:space="preserve"> содержит предложение о поставке хотя бы одного товара, происходящего из иностранного государства. В случае заключения договора с участником закупки, которому предоставляется преимущество, договор заключается без учета такого снижения ценового предложения.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Положения ПП № 1875, касающиеся товара российского происхождения, работы, услуги, соответственно выполняемой, оказываемой российским г</w:t>
      </w:r>
      <w:r>
        <w:rPr>
          <w:rFonts w:ascii="Times New Roman" w:hAnsi="Times New Roman" w:cs="Times New Roman"/>
          <w:b w:val="0"/>
          <w:bCs w:val="0"/>
        </w:rPr>
        <w:t xml:space="preserve">ражданином, российским юридическим лицом, применяются также в отношении товара, происходящего из государства - члена ЕАЭС, работы, услуги, соответственно выполняемой, оказываемой иностранным лицом, зарегистрированным на территории государства - члена ЕАЭС.</w:t>
      </w:r>
      <w:bookmarkEnd w:id="8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6"/>
        <w:ind w:left="851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805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22" w:name="_Toc11"/>
      <w:r>
        <w:rPr>
          <w:sz w:val="24"/>
          <w:szCs w:val="24"/>
        </w:rPr>
        <w:t xml:space="preserve">ДОКУМЕНТАЦИЯ О ЗАКУПКЕ</w:t>
      </w:r>
      <w:bookmarkEnd w:id="2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6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23" w:name="_Ref11225592"/>
      <w:r/>
      <w:bookmarkStart w:id="24" w:name="_Toc12"/>
      <w:r>
        <w:rPr>
          <w:sz w:val="24"/>
          <w:szCs w:val="24"/>
        </w:rPr>
        <w:t xml:space="preserve">Предоставление документации</w:t>
      </w:r>
      <w:bookmarkEnd w:id="23"/>
      <w:r>
        <w:rPr>
          <w:sz w:val="24"/>
          <w:szCs w:val="24"/>
        </w:rPr>
        <w:t xml:space="preserve"> о закупке</w:t>
      </w:r>
      <w:bookmarkEnd w:id="2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25" w:name="_Ref166101804"/>
      <w:r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www.zakupki.gov.ru, а также на сайте электронной площадки (далее – ЭП) https://corp.roseltorg.ru.</w:t>
      </w:r>
      <w:bookmarkEnd w:id="25"/>
      <w:r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устанавливается Заказчиком в извещении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6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26" w:name="_Toc13"/>
      <w:r>
        <w:rPr>
          <w:sz w:val="24"/>
          <w:szCs w:val="24"/>
        </w:rPr>
        <w:t xml:space="preserve">Разъяснение положений документации о закупке</w:t>
      </w:r>
      <w:bookmarkEnd w:id="2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27" w:name="_Ref166349349"/>
      <w:r>
        <w:rPr>
          <w:rFonts w:ascii="Times New Roman" w:hAnsi="Times New Roman" w:cs="Times New Roman"/>
          <w:b w:val="0"/>
          <w:bCs w:val="0"/>
        </w:rPr>
        <w:t xml:space="preserve">Любой участник закупки</w:t>
      </w:r>
      <w:r>
        <w:rPr>
          <w:rFonts w:ascii="Times New Roman" w:hAnsi="Times New Roman" w:cs="Times New Roman"/>
          <w:b w:val="0"/>
          <w:bCs w:val="0"/>
        </w:rPr>
        <w:t xml:space="preserve"> вправе направить средствами электронной площадки Заказчику запрос о даче разъяснений положений извещения о закупке и/или документации о закупке. Порядок подачи запроса на разъяснения положений извещения о закупке и/или документации о закупке определяется </w:t>
      </w:r>
      <w:r>
        <w:rPr>
          <w:rFonts w:ascii="Times New Roman" w:hAnsi="Times New Roman" w:cs="Times New Roman"/>
          <w:b w:val="0"/>
        </w:rPr>
        <w:t xml:space="preserve">Регламентом работы ЭП</w:t>
      </w:r>
      <w:r>
        <w:rPr>
          <w:rFonts w:ascii="Times New Roman" w:hAnsi="Times New Roman" w:cs="Times New Roman"/>
          <w:b w:val="0"/>
          <w:bCs w:val="0"/>
        </w:rPr>
        <w:t xml:space="preserve">. Дата и время окончания срока предоставления участникам закупки разъяснений положений документации о закупке указаны в пункте 15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Заказчик осуществляет разъяснение положений извещения о закупке и/или документации о закупке и размещает их в ЕИС с указанием предмета запроса, но без указания участника</w:t>
      </w:r>
      <w:r>
        <w:rPr>
          <w:rFonts w:ascii="Times New Roman" w:hAnsi="Times New Roman" w:cs="Times New Roman"/>
          <w:b w:val="0"/>
          <w:bCs w:val="0"/>
        </w:rPr>
        <w:t xml:space="preserve"> такой закупки, от которого поступил указанный запрос. При этом Заказчик вправе не осуществлять такое разъяснение в случае, если указанный запрос поступил позднее чем за 3 (три) рабочих дня до даты окончания срока подачи заявок на участие в такой закупке. </w:t>
      </w:r>
      <w:bookmarkEnd w:id="27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Разъяснения положений документации о закупке не должны изменять предмет закупки и существенные условия проекта договора.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8" w:name="_Ref119429410"/>
      <w:r/>
      <w:bookmarkStart w:id="29" w:name="_Toc14"/>
      <w:r>
        <w:rPr>
          <w:sz w:val="24"/>
          <w:szCs w:val="24"/>
        </w:rPr>
        <w:t xml:space="preserve">Внесение изменений в извещение о </w:t>
      </w:r>
      <w:bookmarkEnd w:id="28"/>
      <w:r>
        <w:rPr>
          <w:sz w:val="24"/>
          <w:szCs w:val="24"/>
        </w:rPr>
        <w:t xml:space="preserve">закупке и/или документацию о закупке</w:t>
      </w:r>
      <w:bookmarkEnd w:id="2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Заказчик может по любой причине внести изменения в извещение о закупке и/или документацию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о закупке, размещаются Заказчиком в ЕИС не позднее чем в течение 3 (трех) дней со дня принятия решения о внесении указанных изменений. </w:t>
      </w:r>
      <w:r>
        <w:rPr>
          <w:rFonts w:ascii="Times New Roman" w:hAnsi="Times New Roman" w:cs="Times New Roman"/>
          <w:b w:val="0"/>
          <w:bCs w:val="0"/>
        </w:rPr>
        <w:t xml:space="preserve">При этом </w:t>
      </w:r>
      <w:r>
        <w:rPr>
          <w:rFonts w:ascii="Times New Roman" w:hAnsi="Times New Roman" w:cs="Times New Roman"/>
          <w:b w:val="0"/>
        </w:rPr>
        <w:t xml:space="preserve">срок подачи заявок на участие в заку</w:t>
      </w:r>
      <w:r>
        <w:rPr>
          <w:rFonts w:ascii="Times New Roman" w:hAnsi="Times New Roman" w:cs="Times New Roman"/>
          <w:b w:val="0"/>
        </w:rPr>
        <w:t xml:space="preserve">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Положении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не несет ответственности в случае, если 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закупке и/или документацию о закупке, размещенными надлежащим образом.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6"/>
        <w:numPr>
          <w:ilvl w:val="1"/>
          <w:numId w:val="1"/>
        </w:numPr>
        <w:ind w:left="0" w:firstLine="567"/>
        <w:jc w:val="left"/>
        <w:spacing w:after="0"/>
        <w:rPr>
          <w:sz w:val="24"/>
          <w:szCs w:val="24"/>
        </w:rPr>
      </w:pPr>
      <w:r/>
      <w:bookmarkStart w:id="30" w:name="_Toc15"/>
      <w:r>
        <w:rPr>
          <w:sz w:val="24"/>
          <w:szCs w:val="24"/>
        </w:rPr>
        <w:t xml:space="preserve">Отмена закупки</w:t>
      </w:r>
      <w:bookmarkEnd w:id="3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31" w:name="_Ref166158219"/>
      <w:r>
        <w:rPr>
          <w:rFonts w:ascii="Times New Roman" w:hAnsi="Times New Roman" w:cs="Times New Roman"/>
          <w:b w:val="0"/>
          <w:bCs w:val="0"/>
        </w:rPr>
        <w:t xml:space="preserve">Заказчик вправе отменить закупку по одному и более предмету закупки (лоту) до наступления даты и времени окончания срока подачи заявок на участие в закупке.</w:t>
      </w:r>
      <w:bookmarkEnd w:id="31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32" w:name="_Ref166349406"/>
      <w:r>
        <w:rPr>
          <w:rFonts w:ascii="Times New Roman" w:hAnsi="Times New Roman" w:cs="Times New Roman"/>
          <w:b w:val="0"/>
          <w:bCs w:val="0"/>
        </w:rPr>
        <w:t xml:space="preserve">Решение об отмене закупки размещается Заказчиком в ЕИС в день принятия этого решения.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r/>
      <w:r/>
    </w:p>
    <w:p>
      <w:pPr>
        <w:pStyle w:val="805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33" w:name="_Ref166159542"/>
      <w:r/>
      <w:bookmarkStart w:id="34" w:name="_Ref166159546"/>
      <w:r/>
      <w:bookmarkStart w:id="35" w:name="_Ref166250138"/>
      <w:r/>
      <w:bookmarkStart w:id="36" w:name="_Ref166250141"/>
      <w:r/>
      <w:bookmarkStart w:id="37" w:name="_Toc16"/>
      <w:r/>
      <w:bookmarkEnd w:id="32"/>
      <w:r>
        <w:rPr>
          <w:sz w:val="24"/>
          <w:szCs w:val="24"/>
        </w:rPr>
        <w:t xml:space="preserve">ТРЕБОВАНИЯ К СОДЕРЖАНИЮ ЗАЯВКИ НА УЧАСТИЕ В </w:t>
      </w:r>
      <w:bookmarkEnd w:id="33"/>
      <w:r/>
      <w:bookmarkEnd w:id="34"/>
      <w:r/>
      <w:bookmarkEnd w:id="35"/>
      <w:r/>
      <w:bookmarkEnd w:id="36"/>
      <w:r>
        <w:rPr>
          <w:sz w:val="24"/>
          <w:szCs w:val="24"/>
        </w:rPr>
        <w:t xml:space="preserve">ЗАКУПКЕ</w:t>
      </w:r>
      <w:bookmarkEnd w:id="3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6"/>
        <w:numPr>
          <w:ilvl w:val="1"/>
          <w:numId w:val="1"/>
        </w:numPr>
        <w:ind w:left="0" w:firstLine="567"/>
        <w:jc w:val="left"/>
        <w:spacing w:after="0"/>
        <w:rPr>
          <w:sz w:val="24"/>
          <w:szCs w:val="24"/>
        </w:rPr>
      </w:pPr>
      <w:r/>
      <w:bookmarkStart w:id="38" w:name="_Toc17"/>
      <w:r>
        <w:rPr>
          <w:sz w:val="24"/>
          <w:szCs w:val="24"/>
        </w:rPr>
        <w:t xml:space="preserve">Требования к оформлению заявки на участие в закупке</w:t>
      </w:r>
      <w:bookmarkEnd w:id="3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39" w:name="_Ref166246797"/>
      <w:r/>
      <w:bookmarkStart w:id="40" w:name="_Ref119429784"/>
      <w:r/>
      <w:bookmarkStart w:id="41" w:name="_Ref119429817"/>
      <w:r/>
      <w:bookmarkStart w:id="42" w:name="_Ref119430333"/>
      <w:r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</w:t>
      </w:r>
      <w:r>
        <w:rPr>
          <w:rFonts w:ascii="Times New Roman" w:hAnsi="Times New Roman" w:cs="Times New Roman"/>
          <w:b w:val="0"/>
          <w:bCs w:val="0"/>
        </w:rPr>
        <w:t xml:space="preserve"> закупке, а также разъяснения извещения о закупке и/или документации о закупке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</w:t>
      </w:r>
      <w:r>
        <w:rPr>
          <w:rFonts w:ascii="Times New Roman" w:hAnsi="Times New Roman" w:cs="Times New Roman"/>
          <w:b w:val="0"/>
          <w:bCs w:val="0"/>
        </w:rPr>
        <w:t xml:space="preserve">ации, запрашиваемой в документации о закупке, или же подача заявки,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6"/>
        <w:numPr>
          <w:ilvl w:val="2"/>
          <w:numId w:val="1"/>
        </w:numPr>
        <w:ind w:left="0" w:firstLine="567"/>
        <w:jc w:val="both"/>
      </w:pPr>
      <w:r>
        <w:t xml:space="preserve">Участник закупки готовит заявку на участие в закупке в соответствии с требованиями раздела 3 «ТРЕБОВАНИЯ К СОДЕРЖАНИЮ ЗАЯВКИ НА УЧАСТИЕ В ЗАКУПКЕ» части </w:t>
      </w:r>
      <w:r>
        <w:rPr>
          <w:lang w:val="en-US"/>
        </w:rPr>
        <w:t xml:space="preserve">I</w:t>
      </w:r>
      <w:r>
        <w:t xml:space="preserve"> «ОБЩИЕ УСЛОВИЯ ПРОВЕДЕНИЯ ЗАКУПКИ» и в соответствии с формами документов, установленными частью </w:t>
      </w:r>
      <w:r>
        <w:rPr>
          <w:lang w:val="en-US"/>
        </w:rPr>
        <w:t xml:space="preserve">III</w:t>
      </w:r>
      <w:r>
        <w:t xml:space="preserve"> «ОБРАЗЦЫ ФОРМ ДЛЯ ЗАПОЛНЕНИЯ УЧАСТНИКАМИ ЗАКУПКИ».</w:t>
      </w:r>
      <w:bookmarkEnd w:id="39"/>
      <w:r>
        <w:t xml:space="preserve"> </w:t>
      </w:r>
      <w:r/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согласно ч. 19.5 ст. 3.4 Закона 223-ФЗ заявка участника состоит их двух частей и предложения участника закупки о цене договора (цене лота, единицы товара, работы, услуги), при этом: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6"/>
        <w:numPr>
          <w:ilvl w:val="0"/>
          <w:numId w:val="16"/>
        </w:numPr>
        <w:ind w:left="0" w:firstLine="567"/>
        <w:jc w:val="both"/>
      </w:pPr>
      <w:r>
        <w:t xml:space="preserve">первая часть заявки содержит предложение участника в отношении предмета закупки, о предложении участника функциональных х</w:t>
      </w:r>
      <w:r>
        <w:t xml:space="preserve">арактеристик (потребительских свойств) товара, качестве работы, услуги и об иных условиях исполнения договора, а также информацию и документы для осуществления оценки заявки в отношении критериев и порядка оценки и сопоставления заявок на участие в закупке</w:t>
      </w:r>
      <w:r>
        <w:t xml:space="preserve">, применяемых к предлагаемым участниками закупки товарам, работам, услугам, к условиям исполнения договора (в случае установления в документации о закупке таких критериев) (ЦЕНОВОЕ ПРЕДЛОЖЕНИЕ И СВЕДЕНИЯ ОБ УЧАСТНИКЕ В СОСТАВЕ ПЕРВОЙ ЧАСТИ НЕ УКАЗЫВАЮТСЯ);</w:t>
      </w:r>
      <w:r/>
    </w:p>
    <w:p>
      <w:pPr>
        <w:pStyle w:val="1126"/>
        <w:numPr>
          <w:ilvl w:val="0"/>
          <w:numId w:val="16"/>
        </w:numPr>
        <w:ind w:left="0" w:firstLine="567"/>
        <w:jc w:val="both"/>
        <w:keepLines/>
        <w:widowControl w:val="off"/>
      </w:pPr>
      <w:r>
        <w:t xml:space="preserve">вторая часть заявки содержит сведения об участнике закупки, о соответствии его т</w:t>
      </w:r>
      <w:r>
        <w:t xml:space="preserve">ребованиям, установленным документацией о закупке, информацию и документы в отношении критериев и порядка оценки и сопоставления заявок на участие в закупке, применяемых к участникам закупки (в случае установления в документации о закупке таких критериев).</w:t>
      </w:r>
      <w:r/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документов заявки 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«ТЕХНИЧЕСКАЯ ЧАСТЬ»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>
        <w:rPr>
          <w:rFonts w:ascii="Times New Roman" w:hAnsi="Times New Roman" w:cs="Times New Roman"/>
          <w:b w:val="0"/>
        </w:rPr>
        <w:t xml:space="preserve">закупки</w:t>
      </w:r>
      <w:r>
        <w:rPr>
          <w:rFonts w:ascii="Times New Roman" w:hAnsi="Times New Roman" w:cs="Times New Roman"/>
          <w:b w:val="0"/>
          <w:bCs w:val="0"/>
        </w:rPr>
        <w:t xml:space="preserve">, не должны допускать двусмысленных толкований.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43" w:name="_Ref11475563"/>
      <w:r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43"/>
      <w:r>
        <w:rPr>
          <w:rFonts w:ascii="Times New Roman" w:hAnsi="Times New Roman" w:cs="Times New Roman"/>
          <w:b w:val="0"/>
          <w:bCs w:val="0"/>
        </w:rPr>
        <w:t xml:space="preserve"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</w:t>
      </w:r>
      <w:r>
        <w:rPr>
          <w:rFonts w:ascii="Times New Roman" w:hAnsi="Times New Roman" w:cs="Times New Roman"/>
          <w:b w:val="0"/>
          <w:bCs w:val="0"/>
        </w:rPr>
        <w:t xml:space="preserve">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в составе заявки на участие в закупке, должны быть заполнены по всем пунктам, за исключением пунктов, носящих рекомендательный характер.</w:t>
      </w:r>
      <w:bookmarkStart w:id="44" w:name="_Ref166313158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  <w:highlight w:val="yellow"/>
        </w:rPr>
      </w:pPr>
      <w:r>
        <w:rPr>
          <w:rFonts w:ascii="Times New Roman" w:hAnsi="Times New Roman" w:cs="Times New Roman"/>
          <w:b w:val="0"/>
          <w:bCs w:val="0"/>
          <w:highlight w:val="yellow"/>
        </w:rPr>
        <w:t xml:space="preserve">Количество файлов заявки участника с </w:t>
      </w:r>
      <w:r>
        <w:rPr>
          <w:rFonts w:ascii="Times New Roman" w:hAnsi="Times New Roman" w:cs="Times New Roman"/>
          <w:b w:val="0"/>
          <w:bCs w:val="0"/>
          <w:highlight w:val="yellow"/>
        </w:rPr>
        <w:t xml:space="preserve">графическими образами оригиналов документов должно соответствовать количеству документов, описанных и представляемых участником закупки в составе заявки на участие в закупке (один документ – один файл), предпочтительный формат файлов - многостраничный PDF.</w:t>
      </w:r>
      <w:r>
        <w:rPr>
          <w:rFonts w:ascii="Times New Roman" w:hAnsi="Times New Roman" w:cs="Times New Roman"/>
          <w:b w:val="0"/>
          <w:bCs w:val="0"/>
          <w:highlight w:val="yellow"/>
        </w:rPr>
      </w:r>
      <w:r>
        <w:rPr>
          <w:rFonts w:ascii="Times New Roman" w:hAnsi="Times New Roman" w:cs="Times New Roman"/>
          <w:b w:val="0"/>
          <w:bCs w:val="0"/>
          <w:highlight w:val="yellow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  <w:highlight w:val="yellow"/>
        </w:rPr>
      </w:pPr>
      <w:r>
        <w:rPr>
          <w:rFonts w:ascii="Times New Roman" w:hAnsi="Times New Roman" w:cs="Times New Roman"/>
          <w:b w:val="0"/>
          <w:bCs w:val="0"/>
          <w:highlight w:val="yellow"/>
        </w:rPr>
        <w:t xml:space="preserve">Наименования файлов в составе заявки участника должно соответствовать наименованиям форм и документов, указанным в Приложении № 2 к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  <w:highlight w:val="yellow"/>
        </w:rPr>
      </w:r>
      <w:r>
        <w:rPr>
          <w:rFonts w:ascii="Times New Roman" w:hAnsi="Times New Roman" w:cs="Times New Roman"/>
          <w:b w:val="0"/>
          <w:bCs w:val="0"/>
          <w:highlight w:val="yellow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  <w:highlight w:val="yellow"/>
        </w:rPr>
      </w:pPr>
      <w:r>
        <w:rPr>
          <w:rFonts w:ascii="Times New Roman" w:hAnsi="Times New Roman" w:cs="Times New Roman"/>
          <w:b w:val="0"/>
          <w:bCs w:val="0"/>
          <w:highlight w:val="yellow"/>
        </w:rPr>
        <w:t xml:space="preserve">Если формой или документом, указанным в Приложении № 2 к части II «ИНФОРМАЦ</w:t>
      </w:r>
      <w:r>
        <w:rPr>
          <w:rFonts w:ascii="Times New Roman" w:hAnsi="Times New Roman" w:cs="Times New Roman"/>
          <w:b w:val="0"/>
          <w:bCs w:val="0"/>
          <w:highlight w:val="yellow"/>
        </w:rPr>
        <w:t xml:space="preserve">ИОННАЯ КАРТА ЗАКУПКИ», предусмотрено предоставление приложений к требуемой форме или нескольких документов, то такие документы в составе заявки участника (форма и приложения) упаковываются в архивный файл с наименованием, соответствующим наименованию формы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  <w:highlight w:val="yellow"/>
        </w:rPr>
      </w:r>
      <w:r>
        <w:rPr>
          <w:rFonts w:ascii="Times New Roman" w:hAnsi="Times New Roman" w:cs="Times New Roman"/>
          <w:b w:val="0"/>
          <w:bCs w:val="0"/>
          <w:highlight w:val="yellow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обеспечивает разумную конфиденциальность относительно всех полученных от участников закупк</w:t>
      </w:r>
      <w:r>
        <w:rPr>
          <w:rFonts w:ascii="Times New Roman" w:hAnsi="Times New Roman" w:cs="Times New Roman"/>
          <w:b w:val="0"/>
          <w:bCs w:val="0"/>
        </w:rPr>
        <w:t xml:space="preserve">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6"/>
        <w:numPr>
          <w:ilvl w:val="1"/>
          <w:numId w:val="1"/>
        </w:numPr>
        <w:ind w:left="0" w:firstLine="567"/>
        <w:jc w:val="left"/>
        <w:spacing w:after="0"/>
        <w:rPr>
          <w:sz w:val="24"/>
          <w:szCs w:val="24"/>
        </w:rPr>
      </w:pPr>
      <w:r/>
      <w:bookmarkStart w:id="45" w:name="_Toc18"/>
      <w:r/>
      <w:bookmarkEnd w:id="44"/>
      <w:r>
        <w:rPr>
          <w:sz w:val="24"/>
          <w:szCs w:val="24"/>
        </w:rPr>
        <w:t xml:space="preserve">Язык документов, входящих в состав заявки на участие в закупке</w:t>
      </w:r>
      <w:bookmarkEnd w:id="4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Заявка на участие в закупке должна быть подготовлена на русском языке за исключением нижеследующего.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</w:t>
      </w:r>
      <w:r>
        <w:rPr>
          <w:rFonts w:ascii="Times New Roman" w:hAnsi="Times New Roman" w:cs="Times New Roman"/>
          <w:b w:val="0"/>
          <w:bCs w:val="0"/>
        </w:rPr>
        <w:t xml:space="preserve">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Закупочная комиссия не рассматривает документы, не переведенные на русский язык</w:t>
      </w:r>
      <w:r>
        <w:rPr>
          <w:rFonts w:ascii="Times New Roman" w:hAnsi="Times New Roman" w:cs="Times New Roman"/>
          <w:b w:val="0"/>
          <w:bCs w:val="0"/>
        </w:rPr>
        <w:t xml:space="preserve">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46" w:name="_Toc19"/>
      <w:r>
        <w:rPr>
          <w:sz w:val="24"/>
          <w:szCs w:val="24"/>
        </w:rPr>
        <w:t xml:space="preserve">Требования к валюте заявки</w:t>
      </w:r>
      <w:bookmarkEnd w:id="4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47" w:name="_Hlt517806775"/>
      <w:r/>
      <w:bookmarkStart w:id="48" w:name="_Ref52534291"/>
      <w:r/>
      <w:bookmarkEnd w:id="47"/>
      <w:r>
        <w:rPr>
          <w:rFonts w:ascii="Times New Roman" w:hAnsi="Times New Roman" w:cs="Times New Roman"/>
          <w:b w:val="0"/>
        </w:rPr>
        <w:t xml:space="preserve">Все суммы денежных средств в документах, входящих в заявку участника, должны быть выражены в российских рублях (если иное не установлено в документации о закупке) за исключением нижеследующего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bookmarkEnd w:id="48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</w:t>
      </w:r>
      <w:r>
        <w:rPr>
          <w:rFonts w:ascii="Times New Roman" w:hAnsi="Times New Roman" w:cs="Times New Roman"/>
          <w:b w:val="0"/>
        </w:rPr>
        <w:t xml:space="preserve">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Цена Заявки фиксируется в российских рублях (если иное не установлено в документации о закупке) и не подлежит изменению при изменении официального курса валюты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49" w:name="_Toc20"/>
      <w:r>
        <w:rPr>
          <w:sz w:val="24"/>
          <w:szCs w:val="24"/>
        </w:rPr>
        <w:t xml:space="preserve">Требования к составу заявки на участие в закупке</w:t>
      </w:r>
      <w:bookmarkEnd w:id="40"/>
      <w:r/>
      <w:bookmarkEnd w:id="41"/>
      <w:r/>
      <w:bookmarkEnd w:id="42"/>
      <w:r/>
      <w:bookmarkEnd w:id="4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0" w:name="_Ref166243143"/>
      <w:r>
        <w:rPr>
          <w:rFonts w:ascii="Times New Roman" w:hAnsi="Times New Roman" w:cs="Times New Roman"/>
          <w:b w:val="0"/>
          <w:bCs w:val="0"/>
        </w:rPr>
        <w:t xml:space="preserve">Заявка участника на участие в закупке должна содержать информацию и документы, указанные в </w:t>
      </w:r>
      <w:r>
        <w:rPr>
          <w:rFonts w:ascii="Times New Roman" w:hAnsi="Times New Roman" w:cs="Times New Roman"/>
          <w:b w:val="0"/>
        </w:rPr>
        <w:t xml:space="preserve">пунктах 10, 12, 14 части II «ИНФОРМАЦИОННАЯ КАРТА </w:t>
      </w:r>
      <w:r>
        <w:rPr>
          <w:rFonts w:ascii="Times New Roman" w:hAnsi="Times New Roman" w:cs="Times New Roman"/>
          <w:b w:val="0"/>
          <w:bCs w:val="0"/>
        </w:rPr>
        <w:t xml:space="preserve">ЗАКУПКИ</w:t>
      </w:r>
      <w:r>
        <w:rPr>
          <w:rFonts w:ascii="Times New Roman" w:hAnsi="Times New Roman" w:cs="Times New Roman"/>
          <w:b w:val="0"/>
        </w:rPr>
        <w:t xml:space="preserve">»</w:t>
      </w:r>
      <w:r>
        <w:rPr>
          <w:rFonts w:ascii="Times New Roman" w:hAnsi="Times New Roman" w:cs="Times New Roman"/>
          <w:b w:val="0"/>
          <w:bCs w:val="0"/>
        </w:rPr>
        <w:t xml:space="preserve">:</w:t>
      </w:r>
      <w:bookmarkEnd w:id="50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1" w:name="_Ref166316209"/>
      <w:r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информации и документов, перечисленных в пунктах </w:t>
      </w:r>
      <w:r>
        <w:rPr>
          <w:rFonts w:ascii="Times New Roman" w:hAnsi="Times New Roman" w:cs="Times New Roman"/>
          <w:b w:val="0"/>
        </w:rPr>
        <w:t xml:space="preserve">10, 12, 14 </w:t>
      </w:r>
      <w:r>
        <w:rPr>
          <w:rFonts w:ascii="Times New Roman" w:hAnsi="Times New Roman" w:cs="Times New Roman"/>
          <w:b w:val="0"/>
          <w:bCs w:val="0"/>
        </w:rPr>
        <w:t xml:space="preserve">части II «ИНФОРМАЦИОННАЯ КАРТА ЗАКУПКИ» Закупочная комиссия отклоняет заявку, поданную на участие в закупке.</w:t>
      </w:r>
      <w:bookmarkEnd w:id="51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требованиям, установленным документацией о закупке.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случае, если в закупочной процедуре принимает участие объединение (группа лиц), выступающих на стороне одного участника закупки (далее - коллективный участник), в составе заявки такого участника должна быть представлена доверенность от члено</w:t>
      </w:r>
      <w:r>
        <w:rPr>
          <w:rFonts w:ascii="Times New Roman" w:hAnsi="Times New Roman" w:cs="Times New Roman"/>
          <w:b w:val="0"/>
          <w:bCs w:val="0"/>
        </w:rPr>
        <w:t xml:space="preserve">в коллективного участника, по форме, установленной в части III «ОБРАЗЦЫ ФОРМ ДЛЯ ЗАПОЛНЕНИЯ УЧАСТНИКАМИ ЗАКУПКИ», соответствующая требованиями ст. 185 - ст. 188 ГК РФ и подтверждающая полномочия лидера коллективного участника на представление их интересов.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случае, если в закупочной процедуре принимает участие коллективный участник, такой участник должен подготовить заявку на участие в закупке с учетом следующих дополнительных требований: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6"/>
        <w:numPr>
          <w:ilvl w:val="0"/>
          <w:numId w:val="12"/>
        </w:numPr>
        <w:ind w:left="0" w:firstLine="567"/>
        <w:jc w:val="both"/>
        <w:widowControl w:val="off"/>
      </w:pPr>
      <w:r>
        <w:t xml:space="preserve">заявка должна включать документы, подтверждающие соответствие членов коллективного участника установленным требованиям;</w:t>
      </w:r>
      <w:r/>
    </w:p>
    <w:p>
      <w:pPr>
        <w:pStyle w:val="1126"/>
        <w:numPr>
          <w:ilvl w:val="0"/>
          <w:numId w:val="12"/>
        </w:numPr>
        <w:ind w:left="0" w:firstLine="567"/>
        <w:jc w:val="both"/>
        <w:widowControl w:val="off"/>
      </w:pPr>
      <w:r>
        <w:t xml:space="preserve">заявка подготавливается и подается лидером от своего имени со ссылкой на то, что он представляет интересы коллективного участника. </w:t>
      </w:r>
      <w:r/>
    </w:p>
    <w:p>
      <w:pPr>
        <w:pStyle w:val="806"/>
        <w:numPr>
          <w:ilvl w:val="1"/>
          <w:numId w:val="1"/>
        </w:numPr>
        <w:ind w:left="0" w:firstLine="567"/>
        <w:jc w:val="both"/>
        <w:keepNext w:val="0"/>
        <w:spacing w:after="0"/>
        <w:widowControl w:val="off"/>
        <w:rPr>
          <w:sz w:val="24"/>
          <w:szCs w:val="24"/>
        </w:rPr>
      </w:pPr>
      <w:r/>
      <w:bookmarkStart w:id="52" w:name="_Toc21"/>
      <w:r>
        <w:rPr>
          <w:sz w:val="24"/>
          <w:szCs w:val="24"/>
        </w:rPr>
        <w:t xml:space="preserve">Требования к описанию предложения участника закупки</w:t>
      </w:r>
      <w:bookmarkEnd w:id="5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Cs w:val="0"/>
        </w:rPr>
      </w:pPr>
      <w:r/>
      <w:bookmarkStart w:id="53" w:name="_Ref166314630"/>
      <w:r/>
      <w:bookmarkStart w:id="54" w:name="_Ref11560130"/>
      <w:r>
        <w:rPr>
          <w:rFonts w:ascii="Times New Roman" w:hAnsi="Times New Roman" w:cs="Times New Roman"/>
          <w:b w:val="0"/>
          <w:bCs w:val="0"/>
        </w:rPr>
        <w:t xml:space="preserve">Цена договора, предлагаемая участником закупки, не может превышать начальную (максимальную) цену договора, указанную в извещении о проведении конкурса и в пункте 5 части II «ИНФОРМАЦИОННАЯ КАРТА ЗАКУПКИ», при этом </w:t>
      </w:r>
      <w:bookmarkEnd w:id="53"/>
      <w:r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</w:t>
      </w:r>
      <w:r>
        <w:rPr>
          <w:rFonts w:ascii="Times New Roman" w:hAnsi="Times New Roman" w:cs="Times New Roman"/>
          <w:b w:val="0"/>
          <w:bCs w:val="0"/>
        </w:rPr>
        <w:t xml:space="preserve">на упрощенной системе налогообложения либо товары/работы/услуги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 цену договора без учета НДС. </w:t>
      </w:r>
      <w:r>
        <w:rPr>
          <w:rFonts w:ascii="Times New Roman" w:hAnsi="Times New Roman" w:cs="Times New Roman"/>
        </w:rPr>
        <w:t xml:space="preserve">Для целей оценки заявок по ценовому критерию применяются </w:t>
      </w:r>
      <w:r>
        <w:rPr>
          <w:rFonts w:ascii="Times New Roman" w:hAnsi="Times New Roman" w:cs="Times New Roman"/>
          <w:highlight w:val="yellow"/>
        </w:rPr>
        <w:t xml:space="preserve">начальная (максимальная) цена договора</w:t>
      </w:r>
      <w:r>
        <w:rPr>
          <w:rFonts w:ascii="Times New Roman" w:hAnsi="Times New Roman" w:cs="Times New Roman"/>
        </w:rPr>
        <w:t xml:space="preserve"> и ценовые предложения участников закупки </w:t>
      </w:r>
      <w:r>
        <w:rPr>
          <w:rFonts w:ascii="Times New Roman" w:hAnsi="Times New Roman" w:cs="Times New Roman"/>
          <w:highlight w:val="yellow"/>
        </w:rPr>
        <w:t xml:space="preserve">без учета</w:t>
      </w:r>
      <w:r>
        <w:rPr>
          <w:rFonts w:ascii="Times New Roman" w:hAnsi="Times New Roman" w:cs="Times New Roman"/>
        </w:rPr>
        <w:t xml:space="preserve"> НДС.</w:t>
      </w:r>
      <w:r>
        <w:rPr>
          <w:rFonts w:ascii="Times New Roman" w:hAnsi="Times New Roman" w:cs="Times New Roman"/>
          <w:bCs w:val="0"/>
        </w:rPr>
      </w:r>
      <w:r>
        <w:rPr>
          <w:rFonts w:ascii="Times New Roman" w:hAnsi="Times New Roman" w:cs="Times New Roman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установления в документации о закупке единичных расценок, либо использования в рамках формирования начальной (максимальн</w:t>
      </w:r>
      <w:r>
        <w:rPr>
          <w:rFonts w:ascii="Times New Roman" w:hAnsi="Times New Roman" w:cs="Times New Roman"/>
          <w:b w:val="0"/>
          <w:bCs w:val="0"/>
        </w:rPr>
        <w:t xml:space="preserve">ой) цены договора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 </w:t>
      </w:r>
      <w:r>
        <w:rPr>
          <w:rFonts w:ascii="Times New Roman" w:hAnsi="Times New Roman" w:cs="Times New Roman"/>
          <w:b w:val="0"/>
        </w:rPr>
        <w:t xml:space="preserve">в документации о закупке может быть установлено, что </w:t>
      </w:r>
      <w:r>
        <w:rPr>
          <w:rFonts w:ascii="Times New Roman" w:hAnsi="Times New Roman" w:cs="Times New Roman"/>
          <w:b w:val="0"/>
          <w:bCs w:val="0"/>
        </w:rPr>
        <w:t xml:space="preserve">предложение участника не должно превышать единичные расценки либо отдельные стоимостные позиции соответственно.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6"/>
        <w:numPr>
          <w:ilvl w:val="2"/>
          <w:numId w:val="1"/>
        </w:numPr>
        <w:ind w:left="0" w:firstLine="567"/>
        <w:jc w:val="both"/>
        <w:widowControl w:val="off"/>
      </w:pPr>
      <w:r/>
      <w:bookmarkStart w:id="55" w:name="_Ref126085783"/>
      <w:r>
        <w:t xml:space="preserve">В случае применения в закупке единичных расценок, либо использования в рамках формирования начальной (максимальной) цены договора отдельных стоимостных позиций в документации о закупке мож</w:t>
      </w:r>
      <w:r>
        <w:t xml:space="preserve">ет быть установлено, что при подаче ценовых предложений (дополнительных ценовых предложений) путем снижения общей стоимости заявки участник не вправе превышать единичные расценки либо отдельные стоимостные позиции, первоначально представленные им в заявке.</w:t>
      </w:r>
      <w:r/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>
        <w:rPr>
          <w:rFonts w:ascii="Times New Roman" w:hAnsi="Times New Roman" w:eastAsia="Calibri" w:cs="Times New Roman"/>
          <w:b w:val="0"/>
        </w:rPr>
        <w:t xml:space="preserve"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>
        <w:rPr>
          <w:rFonts w:ascii="Times New Roman" w:hAnsi="Times New Roman" w:cs="Times New Roman"/>
          <w:b w:val="0"/>
          <w:bCs w:val="0"/>
        </w:rPr>
        <w:t xml:space="preserve">, если иное не установлено документацией о закупке.</w:t>
      </w:r>
      <w:bookmarkEnd w:id="55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Описание участниками закупки поставляемого товара, который является предметом закупки, его функциональных характеристик (потребительских свойс</w:t>
      </w:r>
      <w:r>
        <w:rPr>
          <w:rFonts w:ascii="Times New Roman" w:hAnsi="Times New Roman" w:cs="Times New Roman"/>
          <w:b w:val="0"/>
          <w:bCs w:val="0"/>
        </w:rPr>
        <w:t xml:space="preserve">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осуществляется участником закупки в соответствии с требованиями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«ТЕХНИЧЕСКАЯ ЧАСТЬ» </w:t>
      </w:r>
      <w:r>
        <w:rPr>
          <w:rFonts w:ascii="Times New Roman" w:hAnsi="Times New Roman" w:cs="Times New Roman"/>
          <w:b w:val="0"/>
          <w:bCs w:val="0"/>
        </w:rPr>
        <w:t xml:space="preserve">по формам, установленным в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III</w:t>
      </w:r>
      <w:r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что, если иное не установлено документацией о закупке, ссылки в документации о закупке на конкретный тип продукции, производителя, носят лишь рекомендательный, а не обяза</w:t>
      </w:r>
      <w:r>
        <w:rPr>
          <w:rFonts w:ascii="Times New Roman" w:hAnsi="Times New Roman" w:cs="Times New Roman"/>
          <w:b w:val="0"/>
          <w:bCs w:val="0"/>
        </w:rPr>
        <w:t xml:space="preserve">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«ТЕХНИЧЕСКАЯ ЧАСТЬ»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показателей, которые в ней установлены. При наличии в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«ТЕХНИЧЕСКАЯ ЧАСТЬ»</w:t>
      </w:r>
      <w:r>
        <w:rPr>
          <w:rFonts w:ascii="Times New Roman" w:hAnsi="Times New Roman" w:cs="Times New Roman"/>
          <w:b w:val="0"/>
          <w:bCs w:val="0"/>
        </w:rPr>
        <w:t xml:space="preserve"> требований обеспечения совместимости предлагаемого к поставке оборудован</w:t>
      </w:r>
      <w:r>
        <w:rPr>
          <w:rFonts w:ascii="Times New Roman" w:hAnsi="Times New Roman" w:cs="Times New Roman"/>
          <w:b w:val="0"/>
          <w:bCs w:val="0"/>
        </w:rPr>
        <w:t xml:space="preserve">ия и необходимости взаимодействия с оборудованием, используемого Заказчиком,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</w:t>
      </w:r>
      <w:r>
        <w:rPr>
          <w:rFonts w:ascii="Times New Roman" w:hAnsi="Times New Roman" w:cs="Times New Roman"/>
          <w:b w:val="0"/>
          <w:bCs w:val="0"/>
        </w:rPr>
        <w:t xml:space="preserve">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V «ТЕХНИЧЕСКАЯ ЧАСТЬ».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если в части V «ТЕХНИЧЕСКАЯ ЧАСТЬ» указаны товарные знаки, знаки обслуживания, патенты, полезные модели, промышленные образцы, наименования мест происхождени</w:t>
      </w:r>
      <w:r>
        <w:rPr>
          <w:rFonts w:ascii="Times New Roman" w:hAnsi="Times New Roman" w:cs="Times New Roman"/>
          <w:b w:val="0"/>
          <w:bCs w:val="0"/>
        </w:rPr>
        <w:t xml:space="preserve">я товара или наименования 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документации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</w:pPr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  <w:r/>
    </w:p>
    <w:p>
      <w:pPr>
        <w:pStyle w:val="80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56" w:name="_Ref119429503"/>
      <w:r/>
      <w:bookmarkStart w:id="57" w:name="_Toc22"/>
      <w:r/>
      <w:bookmarkEnd w:id="54"/>
      <w:r>
        <w:rPr>
          <w:sz w:val="24"/>
          <w:szCs w:val="24"/>
        </w:rPr>
        <w:t xml:space="preserve">Требования к обеспечению заявок на участие в закупке</w:t>
      </w:r>
      <w:bookmarkEnd w:id="56"/>
      <w:r/>
      <w:bookmarkEnd w:id="5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договора превышает 5 (пять) миллионов рублей </w:t>
      </w:r>
      <w:r>
        <w:rPr>
          <w:rFonts w:ascii="Times New Roman" w:hAnsi="Times New Roman" w:cs="Times New Roman"/>
          <w:b w:val="0"/>
          <w:bCs w:val="0"/>
        </w:rPr>
        <w:t xml:space="preserve">с НДС Заказчик вправе установить в документации о закупке требование к обеспечению заявок на участие в закупке в размере не более 2 (двух) процентов от начальной (максимальной) цены договора. Обеспечение заявки может быть представлено в форме внесения дене</w:t>
      </w:r>
      <w:r>
        <w:rPr>
          <w:rFonts w:ascii="Times New Roman" w:hAnsi="Times New Roman" w:cs="Times New Roman"/>
          <w:b w:val="0"/>
          <w:bCs w:val="0"/>
        </w:rPr>
        <w:t xml:space="preserve">жных средств или в форме независимой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16 раздела II «ИНФОРМАЦИОННАЯ КАРТА ЗАКУПКИ».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Денежные средства вносятся участником закупки на специальный счет, открытый им в банке, включенном в перечень, определенный Правительством Российской Федерации в соответствии с Федеральным </w:t>
      </w:r>
      <w:hyperlink r:id="rId12" w:tooltip="consultantplus://offline/ref=5126373A6C0DC5BE1AE5BF247482912E1BCBC98009FFC480FB735D20C5DBt3K" w:history="1">
        <w:r>
          <w:rPr>
            <w:rFonts w:ascii="Times New Roman" w:hAnsi="Times New Roman" w:cs="Times New Roman"/>
            <w:b w:val="0"/>
            <w:bCs w:val="0"/>
          </w:rPr>
          <w:t xml:space="preserve">законом</w:t>
        </w:r>
      </w:hyperlink>
      <w:r>
        <w:rPr>
          <w:rFonts w:ascii="Times New Roman" w:hAnsi="Times New Roman" w:cs="Times New Roman"/>
          <w:b w:val="0"/>
          <w:bCs w:val="0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(далее - специальный банковский счет).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Порядок и случаи блокирования денежных средств, вн</w:t>
      </w:r>
      <w:r>
        <w:rPr>
          <w:rFonts w:ascii="Times New Roman" w:hAnsi="Times New Roman" w:cs="Times New Roman"/>
          <w:b w:val="0"/>
          <w:bCs w:val="0"/>
        </w:rPr>
        <w:t xml:space="preserve">есенных участниками закупки в целях обеспечения заявок на участие в закупке, и прекращения данного блокирования (возврат денежных средств) установлены действующим законодательством о закупках отдельных видов юридических лиц, а также Регламентом работы ЭП.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8" w:name="_Ref535415072"/>
      <w:r>
        <w:rPr>
          <w:rFonts w:ascii="Times New Roman" w:hAnsi="Times New Roman" w:cs="Times New Roman"/>
          <w:b w:val="0"/>
          <w:bCs w:val="0"/>
        </w:rPr>
        <w:t xml:space="preserve">Возврат участнику закупки денежных средств, внесенных в качестве обеспечения заявки, не производится в следующих случаях:</w:t>
      </w:r>
      <w:bookmarkEnd w:id="58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  <w:spacing w:after="0"/>
        <w:rPr>
          <w:rFonts w:eastAsia="MS Mincho"/>
          <w:bCs/>
        </w:rPr>
      </w:pPr>
      <w:r>
        <w:t xml:space="preserve">- непредставления или предоставления с нарушением условий, установленных настоящей документ</w:t>
      </w:r>
      <w:r>
        <w:t xml:space="preserve">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  <w:r>
        <w:rPr>
          <w:rFonts w:eastAsia="MS Mincho"/>
          <w:bCs/>
        </w:rPr>
      </w:r>
      <w:r>
        <w:rPr>
          <w:rFonts w:eastAsia="MS Mincho"/>
          <w:bCs/>
        </w:rPr>
      </w:r>
    </w:p>
    <w:p>
      <w:pPr>
        <w:ind w:firstLine="567"/>
        <w:spacing w:after="0"/>
        <w:rPr>
          <w:rFonts w:eastAsia="MS Mincho"/>
          <w:bCs/>
        </w:rPr>
      </w:pPr>
      <w:r>
        <w:t xml:space="preserve">- уклонения или отказа участника закупки от заключения договора</w:t>
      </w:r>
      <w:r>
        <w:rPr>
          <w:spacing w:val="-2"/>
        </w:rPr>
        <w:t xml:space="preserve">.</w:t>
      </w:r>
      <w:r>
        <w:rPr>
          <w:rFonts w:eastAsia="MS Mincho"/>
          <w:bCs/>
        </w:rPr>
      </w:r>
      <w:r>
        <w:rPr>
          <w:rFonts w:eastAsia="MS Mincho"/>
          <w:bCs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специальный банковский счет в качестве обеспечения заявок на участие в закупке, в случаях, установленных пунктом </w:t>
      </w:r>
      <w:r>
        <w:fldChar w:fldCharType="begin"/>
      </w:r>
      <w:r>
        <w:instrText xml:space="preserve"> REF _Ref535415072 \r \h  \* MERGEFORMAT </w:instrText>
      </w:r>
      <w: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3.6.5</w:t>
      </w:r>
      <w:r>
        <w:fldChar w:fldCharType="end"/>
      </w:r>
      <w: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документации о закупке, перечисляются на счет Заказчика по реквизитам, указанным в пункте 17 раздела II «ИНФОРМАЦИОННАЯ КАРТА ЗАКУПКИ».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  <w:color w:val="000000" w:themeColor="text1"/>
        </w:rPr>
      </w:pPr>
      <w:r/>
      <w:bookmarkStart w:id="59" w:name="_Ref536100152"/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При выборе участником закупки способа обеспечения заявки в форме независимой гарантии, участник должен предоставить независимую гарантию 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  <w:t xml:space="preserve">по форме, установленной частью III «ОБРАЗЦЫ ФОРМ ДЛЯ ЗАПОЛНЕНИЯ УЧАСТНИКАМИ ЗАКУПКИ»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, составленную с учетом следующих условий:</w:t>
      </w:r>
      <w:bookmarkEnd w:id="59"/>
      <w:r>
        <w:rPr>
          <w:rFonts w:ascii="Times New Roman" w:hAnsi="Times New Roman" w:cs="Times New Roman"/>
          <w:b w:val="0"/>
          <w:bCs w:val="0"/>
          <w:color w:val="000000" w:themeColor="text1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</w:rPr>
      </w:r>
    </w:p>
    <w:p>
      <w:pPr>
        <w:pStyle w:val="1126"/>
        <w:numPr>
          <w:ilvl w:val="0"/>
          <w:numId w:val="33"/>
        </w:numPr>
        <w:ind w:left="0" w:firstLine="567"/>
        <w:jc w:val="both"/>
      </w:pPr>
      <w:r>
        <w:t xml:space="preserve">бенефициаром в независимой гарантии должно быть указано Публичное акционерное общество "Россети Сибирь" (ИНН 2460069527). Актуальная информация о месте нахождения бенефициара находится в открытом доступе на сайте https://egrul.nalog.ru/.</w:t>
      </w:r>
      <w:r/>
    </w:p>
    <w:p>
      <w:pPr>
        <w:pStyle w:val="1126"/>
        <w:numPr>
          <w:ilvl w:val="0"/>
          <w:numId w:val="33"/>
        </w:numPr>
        <w:ind w:left="0" w:firstLine="567"/>
        <w:jc w:val="both"/>
      </w:pPr>
      <w:r>
        <w:t xml:space="preserve">независимая гарантия должна быть безотзывной.</w:t>
      </w:r>
      <w:r/>
    </w:p>
    <w:p>
      <w:pPr>
        <w:pStyle w:val="1126"/>
        <w:numPr>
          <w:ilvl w:val="0"/>
          <w:numId w:val="33"/>
        </w:numPr>
        <w:ind w:left="0" w:firstLine="567"/>
        <w:jc w:val="both"/>
      </w:pPr>
      <w:r>
        <w:t xml:space="preserve">срок действия независимой гарантии должен быть не менее 100 календарных дней со дня окончания срока подачи заявок, установленного в первоначальном извещении о закупке. </w:t>
      </w:r>
      <w:r/>
    </w:p>
    <w:p>
      <w:pPr>
        <w:pStyle w:val="1126"/>
        <w:numPr>
          <w:ilvl w:val="0"/>
          <w:numId w:val="33"/>
        </w:numPr>
        <w:ind w:left="0" w:firstLine="567"/>
        <w:jc w:val="both"/>
      </w:pPr>
      <w:r>
        <w:t xml:space="preserve">независимая гарантия предоставляется участником закупки в письменной форме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гаранта.</w:t>
      </w:r>
      <w:r/>
    </w:p>
    <w:p>
      <w:pPr>
        <w:pStyle w:val="1126"/>
        <w:ind w:left="0" w:firstLine="567"/>
        <w:jc w:val="both"/>
      </w:pPr>
      <w:r>
        <w:t xml:space="preserve">В случае выдачи независимой гарантии в письменной форме на бумажном носителе такая гарантия должна быть подписана лицом, имеющим право действовать от имени гаранта, а все листы такой гарантии должны быть прошиты и пронумерованы.</w:t>
      </w:r>
      <w:r/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Независимая гарантия должна быть выдана:</w:t>
      </w:r>
      <w:r>
        <w:rPr>
          <w:rFonts w:ascii="Times New Roman" w:hAnsi="Times New Roman" w:cs="Times New Roman"/>
          <w:color w:val="000000" w:themeColor="text1"/>
        </w:rPr>
      </w:r>
      <w:r>
        <w:rPr>
          <w:rFonts w:ascii="Times New Roman" w:hAnsi="Times New Roman" w:cs="Times New Roman"/>
          <w:color w:val="000000" w:themeColor="text1"/>
        </w:rPr>
      </w:r>
    </w:p>
    <w:p>
      <w:pPr>
        <w:pStyle w:val="1126"/>
        <w:numPr>
          <w:ilvl w:val="0"/>
          <w:numId w:val="36"/>
        </w:numPr>
        <w:ind w:left="0" w:firstLine="567"/>
        <w:jc w:val="both"/>
      </w:pPr>
      <w:r>
        <w:t xml:space="preserve">банками, соответствующими </w:t>
      </w:r>
      <w:hyperlink r:id="rId13" w:tooltip="https://internet.garant.ru/#/document/403293263/entry/1" w:anchor="/document/403293263/entry/1" w:history="1">
        <w:r>
          <w:t xml:space="preserve">требованиям</w:t>
        </w:r>
      </w:hyperlink>
      <w:r>
        <w:t xml:space="preserve">, установленным Правительством Российской Федерации, и включенными в перечень, предусмотренный </w:t>
      </w:r>
      <w:hyperlink r:id="rId14" w:tooltip="https://internet.garant.ru/#/document/70353464/entry/45012" w:anchor="/document/70353464/entry/45012" w:history="1">
        <w:r>
          <w:t xml:space="preserve">частью 1.2</w:t>
        </w:r>
      </w:hyperlink>
      <w:r>
        <w:t xml:space="preserve"> статьи 45 Федерального закона от 05.04.2013 № 44-ФЗ «О контрактной системе в сфере закупок товаров, работ, услуг для обеспечения государственных и муниципальных нужд»;</w:t>
      </w:r>
      <w:r/>
    </w:p>
    <w:p>
      <w:pPr>
        <w:pStyle w:val="1126"/>
        <w:numPr>
          <w:ilvl w:val="0"/>
          <w:numId w:val="36"/>
        </w:numPr>
        <w:ind w:left="0" w:firstLine="567"/>
        <w:jc w:val="both"/>
      </w:pPr>
      <w:r>
        <w:t xml:space="preserve">государственной корпорацией развития "ВЭБ.РФ";</w:t>
      </w:r>
      <w:r/>
    </w:p>
    <w:p>
      <w:pPr>
        <w:pStyle w:val="1126"/>
        <w:numPr>
          <w:ilvl w:val="0"/>
          <w:numId w:val="36"/>
        </w:numPr>
        <w:ind w:left="0" w:firstLine="567"/>
        <w:jc w:val="both"/>
      </w:pPr>
      <w:r>
        <w:t xml:space="preserve">фондами содействия кредитованию (гарантийными фондами, фондами поручительств), являющимися участниками национальной гарантийной системы поддержки малого и среднего предпринимательства, предусмотренной </w:t>
      </w:r>
      <w:hyperlink r:id="rId15" w:tooltip="https://internet.garant.ru/#/document/12154854/entry/0" w:anchor="/document/12154854/entry/0" w:history="1">
        <w:r>
          <w:t xml:space="preserve">Федеральным законом</w:t>
        </w:r>
      </w:hyperlink>
      <w:r>
        <w:t xml:space="preserve"> от 24 июля 2007 года N 209-ФЗ "О развитии малого и среднего предпринимательства в Российской Федерации" (далее - региональные гарантийные организации), соответствующими </w:t>
      </w:r>
      <w:hyperlink r:id="rId16" w:tooltip="https://internet.garant.ru/#/document/403293263/entry/3" w:anchor="/document/403293263/entry/3" w:history="1">
        <w:r>
          <w:t xml:space="preserve">требованиям</w:t>
        </w:r>
      </w:hyperlink>
      <w:r>
        <w:t xml:space="preserve">, установленным Правительством Российской Федерации, и включенными в перечень, предусмотренный </w:t>
      </w:r>
      <w:hyperlink r:id="rId17" w:tooltip="https://internet.garant.ru/#/document/70353464/entry/45017" w:anchor="/document/70353464/entry/45017" w:history="1">
        <w:r>
          <w:t xml:space="preserve">частью 1.7</w:t>
        </w:r>
      </w:hyperlink>
      <w:r>
        <w:t xml:space="preserve"> статьи 4</w:t>
      </w:r>
      <w:r>
        <w:t xml:space="preserve">5 Федерального закона от 05.04.2013 №44-ФЗ «О контрактной системе в сфере закупок товаров, работ, услуг для обеспечения государственных и муниципальных нужд» (при осуществлении закупок с начальной (максимальной) ценой договора не более двадцати миллионов);</w:t>
      </w:r>
      <w:r/>
    </w:p>
    <w:p>
      <w:pPr>
        <w:pStyle w:val="1126"/>
        <w:numPr>
          <w:ilvl w:val="0"/>
          <w:numId w:val="36"/>
        </w:numPr>
        <w:ind w:left="0" w:firstLine="567"/>
        <w:jc w:val="both"/>
      </w:pPr>
      <w:r>
        <w:t xml:space="preserve">Евразийским банком развития (если участник закупки является юридическим лицом, зареги</w:t>
      </w:r>
      <w:r>
        <w:t xml:space="preserve">стрированным на территории государства - члена Евразийского экономического союза, за исключением Российской Федерации, или физическим лицом, являющимся гражданином государства - члена Евразийского экономического союза, за исключением Российской Федерации).</w:t>
      </w:r>
      <w:r/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Информация о независимой гаран</w:t>
      </w:r>
      <w:r>
        <w:rPr>
          <w:rFonts w:ascii="Times New Roman" w:hAnsi="Times New Roman" w:cs="Times New Roman"/>
          <w:b w:val="0"/>
        </w:rPr>
        <w:t xml:space="preserve">тии должна быть включена в реестр независимых гарантий, предусмотренный частью 8 статьи 45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Основанием для отказа в допуске к участию в закупке является: 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7"/>
        <w:numPr>
          <w:ilvl w:val="0"/>
          <w:numId w:val="35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отсутствие информации о независимой гарантии в реестре независимых гарантий;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7"/>
        <w:numPr>
          <w:ilvl w:val="0"/>
          <w:numId w:val="35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несоответствие независимой гарантии условиям, изложенным в настоящей документации о закупке.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7"/>
        <w:numPr>
          <w:ilvl w:val="2"/>
          <w:numId w:val="1"/>
        </w:numPr>
        <w:ind w:left="57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Взыскание по независимой гарантии производится при наступлении следующих обстоятельств, предусмотренных независимой гарантией: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126"/>
        <w:numPr>
          <w:ilvl w:val="0"/>
          <w:numId w:val="34"/>
        </w:numPr>
        <w:ind w:left="0" w:firstLine="567"/>
        <w:jc w:val="both"/>
        <w:widowControl w:val="off"/>
        <w:tabs>
          <w:tab w:val="clear" w:pos="432" w:leader="none"/>
        </w:tabs>
      </w:pPr>
      <w:r>
        <w:rPr>
          <w:bCs/>
        </w:rPr>
        <w:t xml:space="preserve"> непредставления или предоставления с нарушением условий, установленных настоящей документ</w:t>
      </w:r>
      <w:r>
        <w:rPr>
          <w:bCs/>
        </w:rPr>
        <w:t xml:space="preserve">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  <w:r/>
    </w:p>
    <w:p>
      <w:pPr>
        <w:pStyle w:val="1126"/>
        <w:numPr>
          <w:ilvl w:val="0"/>
          <w:numId w:val="34"/>
        </w:numPr>
        <w:ind w:left="0" w:firstLine="567"/>
        <w:jc w:val="both"/>
        <w:widowControl w:val="off"/>
        <w:tabs>
          <w:tab w:val="clear" w:pos="432" w:leader="none"/>
        </w:tabs>
      </w:pPr>
      <w:r>
        <w:rPr>
          <w:bCs/>
        </w:rPr>
        <w:t xml:space="preserve"> уклонения или отказа участника закупки от заключения договора.</w:t>
      </w:r>
      <w:r/>
    </w:p>
    <w:p>
      <w:pPr>
        <w:pStyle w:val="806"/>
        <w:numPr>
          <w:ilvl w:val="1"/>
          <w:numId w:val="1"/>
        </w:numPr>
        <w:ind w:left="0" w:firstLine="567"/>
        <w:jc w:val="both"/>
        <w:keepNext w:val="0"/>
        <w:spacing w:after="0"/>
        <w:tabs>
          <w:tab w:val="clear" w:pos="576" w:leader="none"/>
        </w:tabs>
        <w:rPr>
          <w:sz w:val="24"/>
          <w:szCs w:val="24"/>
        </w:rPr>
      </w:pPr>
      <w:r/>
      <w:bookmarkStart w:id="60" w:name="_Toc23"/>
      <w:r>
        <w:rPr>
          <w:sz w:val="24"/>
          <w:szCs w:val="24"/>
        </w:rPr>
        <w:t xml:space="preserve">Требования к дополнительному обеспечению исполнения обязательств по договору, заключаемому по итогам закупочных процедур с участником, предоставившим заявку с аномально низкой ценой</w:t>
      </w:r>
      <w:bookmarkEnd w:id="6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  <w:u w:val="single"/>
        </w:rPr>
      </w:pPr>
      <w:r>
        <w:rPr>
          <w:rFonts w:ascii="Times New Roman" w:hAnsi="Times New Roman" w:cs="Times New Roman"/>
          <w:b w:val="0"/>
          <w:bCs w:val="0"/>
          <w:u w:val="single"/>
        </w:rPr>
        <w:t xml:space="preserve">Установленные настоящим подразделом требования к дополнительному обеспечению применяются Заказчиком только в том случае, если аналогичные требования содержатся в части </w:t>
      </w:r>
      <w:r>
        <w:rPr>
          <w:rFonts w:ascii="Times New Roman" w:hAnsi="Times New Roman" w:cs="Times New Roman"/>
          <w:b w:val="0"/>
          <w:bCs w:val="0"/>
          <w:u w:val="single"/>
          <w:lang w:val="en-US"/>
        </w:rPr>
        <w:t xml:space="preserve">IV</w:t>
      </w:r>
      <w:r>
        <w:rPr>
          <w:rFonts w:ascii="Times New Roman" w:hAnsi="Times New Roman" w:cs="Times New Roman"/>
          <w:b w:val="0"/>
          <w:bCs w:val="0"/>
          <w:u w:val="single"/>
        </w:rPr>
        <w:t xml:space="preserve"> «ПРОЕКТ ДОГОВОРА» настоящей документации о закупке.</w:t>
      </w:r>
      <w:r>
        <w:rPr>
          <w:rFonts w:ascii="Times New Roman" w:hAnsi="Times New Roman" w:cs="Times New Roman"/>
          <w:b w:val="0"/>
          <w:bCs w:val="0"/>
          <w:u w:val="single"/>
        </w:rPr>
      </w:r>
      <w:r>
        <w:rPr>
          <w:rFonts w:ascii="Times New Roman" w:hAnsi="Times New Roman" w:cs="Times New Roman"/>
          <w:b w:val="0"/>
          <w:bCs w:val="0"/>
          <w:u w:val="single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color w:val="000000" w:themeColor="text1"/>
        </w:rPr>
      </w:pPr>
      <w:r>
        <w:rPr>
          <w:rFonts w:ascii="Times New Roman" w:hAnsi="Times New Roman" w:cs="Times New Roman"/>
          <w:b w:val="0"/>
          <w:color w:val="000000" w:themeColor="text1"/>
        </w:rPr>
        <w:t xml:space="preserve">Под аномально низким ценовым предложением понимается снижение цены участником закупки относительно начальной (максимальной) цены договора, указанной в извещении и/или документации о закупке, на 25 (двадцать пять) и более процентов.</w:t>
      </w:r>
      <w:r>
        <w:rPr>
          <w:rFonts w:ascii="Times New Roman" w:hAnsi="Times New Roman" w:cs="Times New Roman"/>
          <w:b w:val="0"/>
          <w:color w:val="000000" w:themeColor="text1"/>
        </w:rPr>
      </w:r>
      <w:r>
        <w:rPr>
          <w:rFonts w:ascii="Times New Roman" w:hAnsi="Times New Roman" w:cs="Times New Roman"/>
          <w:b w:val="0"/>
          <w:color w:val="000000" w:themeColor="text1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При расчете размера процента снижения для определения аномально низкой цены предложения участника, </w:t>
      </w:r>
      <w:r>
        <w:rPr>
          <w:rFonts w:ascii="Times New Roman" w:hAnsi="Times New Roman" w:cs="Times New Roman"/>
          <w:b w:val="0"/>
        </w:rPr>
        <w:t xml:space="preserve">с которым планируется заключить д</w:t>
      </w:r>
      <w:r>
        <w:rPr>
          <w:rFonts w:ascii="Times New Roman" w:hAnsi="Times New Roman" w:cs="Times New Roman"/>
          <w:b w:val="0"/>
          <w:bCs w:val="0"/>
        </w:rPr>
        <w:t xml:space="preserve">оговор, используется 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установленная в документации о закупке 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  <w:t xml:space="preserve">начальная (максимальная) цена договора, </w:t>
      </w:r>
      <w:r>
        <w:rPr>
          <w:rFonts w:ascii="Times New Roman" w:hAnsi="Times New Roman" w:cs="Times New Roman"/>
          <w:color w:val="000000" w:themeColor="text1"/>
          <w:u w:val="single"/>
        </w:rPr>
        <w:t xml:space="preserve">включая все налоги и сборы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 (для всех участников закупки - независимо от применяемой ими системы налогообложения) и 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  <w:t xml:space="preserve">значение цены участника, с которым планируется заключить договор, </w:t>
      </w:r>
      <w:r>
        <w:rPr>
          <w:rFonts w:ascii="Times New Roman" w:hAnsi="Times New Roman" w:cs="Times New Roman"/>
          <w:u w:val="single"/>
        </w:rPr>
        <w:t xml:space="preserve">с учетом всех налогов и сборов</w:t>
      </w:r>
      <w:r>
        <w:rPr>
          <w:rFonts w:ascii="Times New Roman" w:hAnsi="Times New Roman" w:cs="Times New Roman"/>
          <w:b w:val="0"/>
          <w:u w:val="single"/>
        </w:rPr>
        <w:t xml:space="preserve">.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</w:rPr>
      </w:pPr>
      <w:r/>
      <w:bookmarkStart w:id="61" w:name="undefined"/>
      <w:r>
        <w:rPr>
          <w:rFonts w:ascii="Times New Roman" w:hAnsi="Times New Roman" w:cs="Times New Roman"/>
          <w:b w:val="0"/>
        </w:rPr>
        <w:t xml:space="preserve">В случае если при проведении закупки победителем (либо единственным участником, признанным соответствующим требованиям извещения и/или документации о </w:t>
      </w:r>
      <w:r>
        <w:rPr>
          <w:rFonts w:ascii="Times New Roman" w:hAnsi="Times New Roman" w:cs="Times New Roman"/>
          <w:b w:val="0"/>
        </w:rPr>
        <w:t xml:space="preserve">закупке, с которым планируется заключить договор) признается участник, предложивший аномально низкое ценовое предложение, таким участником до заключения договора должно быть предоставлено обеспечение исполнения обязательств по договору в следующем размере:</w:t>
      </w:r>
      <w:bookmarkEnd w:id="61"/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tbl>
      <w:tblPr>
        <w:tblStyle w:val="1132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84"/>
        <w:gridCol w:w="1843"/>
        <w:gridCol w:w="1701"/>
        <w:gridCol w:w="1842"/>
        <w:gridCol w:w="4536"/>
      </w:tblGrid>
      <w:tr>
        <w:tblPrEx/>
        <w:trPr/>
        <w:tc>
          <w:tcPr>
            <w:shd w:val="clear" w:color="ffffff" w:themeColor="background1" w:fill="ffffff" w:themeFill="background1"/>
            <w:tcW w:w="28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gridSpan w:val="3"/>
            <w:shd w:val="clear" w:color="ffffff" w:themeColor="background1" w:fill="ffffff" w:themeFill="background1"/>
            <w:tcW w:w="538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Матрица договорных условий 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Требуемый размер обеспечения (в виде независимой гарантии либо обеспечительного платежа на исполнение обязательств по договору) 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>
          <w:trHeight w:val="874"/>
        </w:trPr>
        <w:tc>
          <w:tcPr>
            <w:tcW w:w="284" w:type="dxa"/>
            <w:vMerge w:val="continue"/>
            <w:textDirection w:val="lrTb"/>
            <w:noWrap w:val="false"/>
          </w:tcPr>
          <w:p>
            <w:pPr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Предоставление обеспечения исполнения обязательств по договору 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Авансирование 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Предоставление обеспечения  возврата авансового платежа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4536" w:type="dxa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обязательств по договору в размере 3% (три процента) от начальной (максимальной) цены договора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увеличенное от первоначально установленного обеспечения исполнения договора в 1,5 (полтора) раза, но не более 5% (пяти процентов) от начальной (максимальной) цены договора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аванса, при этом отдельное обеспечение на возврат авансовых платежей не предоставляется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аванса, но не менее 5% (пяти процентов) от начальной (максимальной) цены договора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аванса, но не менее 5% (пяти процентов) от начальной (максимальной) цены договора, при этом отдельное обеспечение на возврат авансовых платежей не предоставляется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Обеспечение исполнения обязательств по договору может быть представлено в форме внесения денежных средств на счет Заказчика (обеспечительного платежа) и</w:t>
      </w:r>
      <w:r>
        <w:rPr>
          <w:rFonts w:ascii="Times New Roman" w:hAnsi="Times New Roman" w:cs="Times New Roman"/>
          <w:b w:val="0"/>
        </w:rPr>
        <w:t xml:space="preserve">ли в форме независимой гарантии. Выбор способа обеспечения исполнения обязательств по договору осуществляется участником закупки самостоятельно. Предоставление обеспечения иным, не указанным в извещении и/или документации о закупке способом не допускается.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  <w:color w:val="000000" w:themeColor="text1"/>
        </w:rPr>
      </w:pPr>
      <w:r>
        <w:rPr>
          <w:rFonts w:ascii="Times New Roman" w:hAnsi="Times New Roman" w:cs="Times New Roman"/>
          <w:b w:val="0"/>
          <w:color w:val="000000" w:themeColor="text1"/>
        </w:rPr>
        <w:t xml:space="preserve">Обеспечение исполнения договора, предусмотр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енное в п. 3.7.4 документации о закупке, предо</w:t>
      </w:r>
      <w:r>
        <w:rPr>
          <w:rFonts w:ascii="Times New Roman" w:hAnsi="Times New Roman" w:cs="Times New Roman"/>
          <w:b w:val="0"/>
          <w:color w:val="000000" w:themeColor="text1"/>
        </w:rPr>
        <w:t xml:space="preserve">ставляется на пери</w:t>
      </w:r>
      <w:r>
        <w:rPr>
          <w:rFonts w:ascii="Times New Roman" w:hAnsi="Times New Roman" w:cs="Times New Roman"/>
          <w:b w:val="0"/>
          <w:color w:val="000000" w:themeColor="text1"/>
        </w:rPr>
        <w:t xml:space="preserve">од исполнения обязательств по договору до момента подписания сторонами итоговых документов, подтверждающих исполнение участником закупки обязательств по выполнению работ/ оказанию услуг/поставке товаров в соответствии с условиями договора в полном объеме. 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Срок предоставления победителем (либо единственным участником, признанным соответствующим требованиям документации о закупке, </w:t>
      </w:r>
      <w:r>
        <w:rPr>
          <w:rFonts w:ascii="Times New Roman" w:hAnsi="Times New Roman" w:cs="Times New Roman"/>
          <w:b w:val="0"/>
          <w:bCs w:val="0"/>
        </w:rPr>
        <w:t xml:space="preserve">с которым планируется заключить договор</w:t>
      </w:r>
      <w:r>
        <w:rPr>
          <w:rFonts w:ascii="Times New Roman" w:hAnsi="Times New Roman" w:cs="Times New Roman"/>
          <w:b w:val="0"/>
        </w:rPr>
        <w:t xml:space="preserve">) обеспечения исполнение договора – </w:t>
      </w:r>
      <w:r>
        <w:rPr>
          <w:rFonts w:ascii="Times New Roman" w:hAnsi="Times New Roman" w:cs="Times New Roman"/>
          <w:u w:val="single"/>
        </w:rPr>
        <w:t xml:space="preserve">не позднее 10 рабочих дней </w:t>
      </w:r>
      <w:r>
        <w:rPr>
          <w:rFonts w:ascii="Times New Roman" w:hAnsi="Times New Roman" w:cs="Times New Roman"/>
          <w:bCs w:val="0"/>
          <w:u w:val="single"/>
        </w:rPr>
        <w:t xml:space="preserve">с даты размещения в единой информационной системе итогового протокола.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принятия участником закупки решения о предоставлении обеспечение исполнения обязательств по договору, предусмотренного в пункт</w:t>
      </w:r>
      <w:r>
        <w:rPr>
          <w:rFonts w:ascii="Times New Roman" w:hAnsi="Times New Roman" w:cs="Times New Roman"/>
          <w:b w:val="0"/>
          <w:bCs w:val="0"/>
        </w:rPr>
        <w:t xml:space="preserve">е 3.7.4 до</w:t>
      </w:r>
      <w:r>
        <w:rPr>
          <w:rFonts w:ascii="Times New Roman" w:hAnsi="Times New Roman" w:cs="Times New Roman"/>
          <w:b w:val="0"/>
        </w:rPr>
        <w:t xml:space="preserve">кументации о закупке, в форме денежных средств (обеспечительного платежа), такие средства перечисляются на расчетный счет Заказчика по следующим реквизитам: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ind w:firstLine="567"/>
        <w:spacing w:after="0"/>
        <w:widowControl w:val="off"/>
      </w:pPr>
      <w:r>
        <w:t xml:space="preserve">Получатель: АО «Россети Сибирь Тываэнерго»</w:t>
      </w:r>
      <w:r/>
    </w:p>
    <w:p>
      <w:pPr>
        <w:ind w:firstLine="567"/>
        <w:spacing w:after="0"/>
        <w:widowControl w:val="off"/>
      </w:pPr>
      <w:r>
        <w:t xml:space="preserve">667001, Республика Тыва, г.Кызыл, ул. Рабочая, 4 (394-22) 9-85-00</w:t>
      </w:r>
      <w:r/>
    </w:p>
    <w:p>
      <w:pPr>
        <w:ind w:firstLine="567"/>
        <w:spacing w:after="0"/>
        <w:widowControl w:val="off"/>
      </w:pPr>
      <w:r>
        <w:t xml:space="preserve">ИНН 1701029232  </w:t>
      </w:r>
      <w:r/>
    </w:p>
    <w:p>
      <w:pPr>
        <w:ind w:firstLine="567"/>
        <w:spacing w:after="0"/>
        <w:widowControl w:val="off"/>
      </w:pPr>
      <w:r>
        <w:t xml:space="preserve">КПП 170101001</w:t>
      </w:r>
      <w:r/>
    </w:p>
    <w:p>
      <w:pPr>
        <w:ind w:firstLine="567"/>
        <w:spacing w:after="0"/>
        <w:widowControl w:val="off"/>
      </w:pPr>
      <w:r>
        <w:t xml:space="preserve">ОГРН 1021700509566     </w:t>
      </w:r>
      <w:r/>
    </w:p>
    <w:p>
      <w:pPr>
        <w:ind w:firstLine="567"/>
        <w:spacing w:after="0"/>
        <w:widowControl w:val="off"/>
      </w:pPr>
      <w:r>
        <w:t xml:space="preserve">ОКПО 40871124 </w:t>
      </w:r>
      <w:r/>
    </w:p>
    <w:p>
      <w:pPr>
        <w:ind w:firstLine="567"/>
        <w:spacing w:after="0"/>
        <w:widowControl w:val="off"/>
      </w:pPr>
      <w:r>
        <w:t xml:space="preserve">ОКВЭД 35.12 </w:t>
      </w:r>
      <w:r/>
    </w:p>
    <w:p>
      <w:pPr>
        <w:ind w:firstLine="567"/>
        <w:spacing w:after="0"/>
        <w:widowControl w:val="off"/>
      </w:pPr>
      <w:r>
        <w:t xml:space="preserve">ОКАТО 93401000000 </w:t>
      </w:r>
      <w:r/>
    </w:p>
    <w:p>
      <w:pPr>
        <w:ind w:firstLine="567"/>
        <w:spacing w:after="0"/>
        <w:widowControl w:val="off"/>
      </w:pPr>
      <w:r>
        <w:t xml:space="preserve">ОКФС 16 ОКОПФ 12267 </w:t>
      </w:r>
      <w:r/>
    </w:p>
    <w:p>
      <w:pPr>
        <w:ind w:firstLine="567"/>
        <w:spacing w:after="0"/>
        <w:widowControl w:val="off"/>
      </w:pPr>
      <w:r>
        <w:t xml:space="preserve">КРАСНОЯРСКОЕ ОТДЕЛЕНИЕ N 8646 ПАО СБЕРБАНК</w:t>
      </w:r>
      <w:r/>
    </w:p>
    <w:p>
      <w:pPr>
        <w:ind w:firstLine="567"/>
        <w:spacing w:after="0"/>
        <w:widowControl w:val="off"/>
      </w:pPr>
      <w:r>
        <w:t xml:space="preserve">БИК 040407627</w:t>
      </w:r>
      <w:r/>
    </w:p>
    <w:p>
      <w:pPr>
        <w:ind w:firstLine="567"/>
        <w:spacing w:after="0"/>
        <w:widowControl w:val="off"/>
      </w:pPr>
      <w:r>
        <w:t xml:space="preserve">к/с 30101810800000000627</w:t>
      </w:r>
      <w:r/>
    </w:p>
    <w:p>
      <w:pPr>
        <w:ind w:firstLine="567"/>
        <w:spacing w:after="0"/>
        <w:widowControl w:val="off"/>
        <w:rPr>
          <w:sz w:val="26"/>
          <w:szCs w:val="26"/>
        </w:rPr>
      </w:pPr>
      <w:r>
        <w:t xml:space="preserve">р/сч 40702810865000001852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spacing w:after="0"/>
        <w:shd w:val="clear" w:color="ffffff" w:themeColor="background1" w:fill="ffffff" w:themeFill="background1"/>
        <w:widowControl w:val="off"/>
      </w:pPr>
      <w:r>
        <w:t xml:space="preserve">В платежном поручении в графе «наименование платежа» необходимо указать «</w:t>
      </w:r>
      <w:r>
        <w:rPr>
          <w:b/>
        </w:rPr>
        <w:t xml:space="preserve">Обеспечение исполнения обязательств по договору </w:t>
      </w:r>
      <w:r>
        <w:rPr>
          <w:i/>
        </w:rPr>
        <w:t xml:space="preserve">(указать наименование)</w:t>
      </w:r>
      <w:r>
        <w:rPr>
          <w:b/>
        </w:rPr>
        <w:t xml:space="preserve">, закупка в ЕИС № </w:t>
      </w:r>
      <w:r>
        <w:rPr>
          <w:i/>
        </w:rPr>
        <w:t xml:space="preserve">(указать номер)»</w:t>
      </w:r>
      <w:r>
        <w:t xml:space="preserve">, а также «НДС не облагается».</w:t>
      </w:r>
      <w:r/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принятия решения о предоставлении обеспечение исполнения обязательств по договору, предусмотренного в пункте </w:t>
      </w:r>
      <w:r>
        <w:rPr>
          <w:rFonts w:ascii="Times New Roman" w:hAnsi="Times New Roman" w:cs="Times New Roman"/>
          <w:b w:val="0"/>
          <w:bCs w:val="0"/>
        </w:rPr>
        <w:t xml:space="preserve">3.7.4 </w:t>
      </w:r>
      <w:r>
        <w:rPr>
          <w:rFonts w:ascii="Times New Roman" w:hAnsi="Times New Roman" w:cs="Times New Roman"/>
          <w:b w:val="0"/>
        </w:rPr>
        <w:t xml:space="preserve">документации о закупке, в форме независимой гара</w:t>
      </w:r>
      <w:r>
        <w:rPr>
          <w:rFonts w:ascii="Times New Roman" w:hAnsi="Times New Roman" w:cs="Times New Roman"/>
          <w:b w:val="0"/>
          <w:bCs w:val="0"/>
        </w:rPr>
        <w:t xml:space="preserve">нтии, такая гарантия, а также гарант должны соответствовать требованиям, установленным в пункте 7.3 насто</w:t>
      </w:r>
      <w:r>
        <w:rPr>
          <w:rFonts w:ascii="Times New Roman" w:hAnsi="Times New Roman" w:cs="Times New Roman"/>
          <w:b w:val="0"/>
        </w:rPr>
        <w:t xml:space="preserve">ящей документации.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ind w:firstLine="567"/>
        <w:spacing w:after="0"/>
      </w:pPr>
      <w:r/>
      <w:r/>
    </w:p>
    <w:p>
      <w:pPr>
        <w:pStyle w:val="805"/>
        <w:numPr>
          <w:ilvl w:val="0"/>
          <w:numId w:val="1"/>
        </w:numPr>
        <w:ind w:left="0" w:firstLine="567"/>
        <w:jc w:val="left"/>
        <w:keepNext w:val="0"/>
        <w:spacing w:before="0" w:after="0"/>
        <w:rPr>
          <w:sz w:val="24"/>
          <w:szCs w:val="24"/>
        </w:rPr>
      </w:pPr>
      <w:r/>
      <w:bookmarkStart w:id="62" w:name="_Toc24"/>
      <w:r>
        <w:rPr>
          <w:sz w:val="24"/>
          <w:szCs w:val="24"/>
        </w:rPr>
        <w:t xml:space="preserve">ПОДАЧА ЗАЯВОК НА УЧАСТИЕ В ЗАКУПКЕ</w:t>
      </w:r>
      <w:bookmarkEnd w:id="6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63" w:name="_Ref166249895"/>
      <w:r/>
      <w:bookmarkStart w:id="64" w:name="_Toc25"/>
      <w:r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63"/>
      <w:r>
        <w:rPr>
          <w:sz w:val="24"/>
          <w:szCs w:val="24"/>
        </w:rPr>
        <w:t xml:space="preserve">закупке</w:t>
      </w:r>
      <w:bookmarkEnd w:id="6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ЭП в сроки, установленные в пункте 8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процедуре закупки в отношении каждого лота.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65" w:name="_Ref119429670"/>
      <w:r/>
      <w:bookmarkStart w:id="66" w:name="_Toc26"/>
      <w:r>
        <w:rPr>
          <w:sz w:val="24"/>
          <w:szCs w:val="24"/>
        </w:rPr>
        <w:t xml:space="preserve">Изменения и отзыв заявок на участие в </w:t>
      </w:r>
      <w:bookmarkEnd w:id="65"/>
      <w:r>
        <w:rPr>
          <w:sz w:val="24"/>
          <w:szCs w:val="24"/>
        </w:rPr>
        <w:t xml:space="preserve">закупке</w:t>
      </w:r>
      <w:bookmarkEnd w:id="6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закупке, вправе изменить или отозвать заявку на участие в закупке в любое время до момента окончания срока подачи заявок на участие в закупке.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Порядок изменения и отзыва заявок на участие в закупке определен Регламентом работы ЭП.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изменение или отзыв заявок на участие в закупке за исключением случаев, предусмотренных законодательством о закупках отдельных видов юридических лиц.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</w:pPr>
      <w:r/>
      <w:r/>
    </w:p>
    <w:p>
      <w:pPr>
        <w:pStyle w:val="805"/>
        <w:numPr>
          <w:ilvl w:val="0"/>
          <w:numId w:val="1"/>
        </w:numPr>
        <w:ind w:left="0" w:firstLine="567"/>
        <w:jc w:val="left"/>
        <w:keepNext w:val="0"/>
        <w:spacing w:before="0" w:after="0"/>
        <w:rPr>
          <w:sz w:val="24"/>
          <w:szCs w:val="24"/>
        </w:rPr>
      </w:pPr>
      <w:r/>
      <w:bookmarkStart w:id="67" w:name="_Toc27"/>
      <w:r>
        <w:rPr>
          <w:sz w:val="24"/>
          <w:szCs w:val="24"/>
        </w:rPr>
        <w:t xml:space="preserve">ПОРЯДОК ПРОВЕДЕНИЯ ЭТАПОВ ЗАКУПКИ</w:t>
      </w:r>
      <w:bookmarkEnd w:id="6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68" w:name="_Ref535416464"/>
      <w:r/>
      <w:bookmarkStart w:id="69" w:name="_Toc28"/>
      <w:r>
        <w:rPr>
          <w:sz w:val="24"/>
          <w:szCs w:val="24"/>
        </w:rPr>
        <w:t xml:space="preserve">Обсуждение с участниками конкурса функциональных характеристик </w:t>
      </w:r>
      <w:r>
        <w:rPr>
          <w:sz w:val="24"/>
          <w:szCs w:val="24"/>
        </w:rPr>
        <w:t xml:space="preserve">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</w:r>
      <w:bookmarkEnd w:id="68"/>
      <w:r/>
      <w:bookmarkEnd w:id="6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70" w:name="_Ref535416033"/>
      <w:r>
        <w:rPr>
          <w:rFonts w:ascii="Times New Roman" w:hAnsi="Times New Roman" w:cs="Times New Roman"/>
          <w:b w:val="0"/>
          <w:bCs w:val="0"/>
        </w:rPr>
        <w:t xml:space="preserve">При проведении закупки Заказчик </w:t>
      </w:r>
      <w:r>
        <w:rPr>
          <w:rFonts w:ascii="Times New Roman" w:hAnsi="Times New Roman" w:cs="Times New Roman"/>
          <w:b w:val="0"/>
          <w:bCs w:val="0"/>
        </w:rPr>
        <w:t xml:space="preserve">вправе принять решение о проведении такого этапа закупки как «обсуждение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проведе</w:t>
      </w:r>
      <w:r>
        <w:rPr>
          <w:rFonts w:ascii="Times New Roman" w:hAnsi="Times New Roman" w:cs="Times New Roman"/>
          <w:b w:val="0"/>
          <w:bCs w:val="0"/>
        </w:rPr>
        <w:t xml:space="preserve">нии закупки, документации о закупке, проекте договора требуемых характеристик (потребительских свойств) закупаемых товаров, работ, услуг». Информация о проведении такого этапа в рамках закупки указывается в пункте 7 части II «ИНФОРМАЦИОННАЯ КАРТА ЗАКУПКИ».</w:t>
      </w:r>
      <w:bookmarkEnd w:id="70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Указанный в пункте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_Ref535416033 \r \h  \* MERGEFORMAT </w:instrText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5.1.1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закупки проводится в сроки, предусмотренные в пункте 8 части II «ИНФОРМАЦИОННАЯ КАРТА ЗАКУПКИ», но не позднее срока окончания подачи заявок на участие в закупке, в порядке предусмотренным Регламентом ЭП.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 результатам данного этапа закупки Заказчик составляет протокол, в котором указывается</w:t>
      </w:r>
      <w:r>
        <w:rPr>
          <w:rFonts w:ascii="Times New Roman" w:hAnsi="Times New Roman" w:cs="Times New Roman"/>
          <w:b w:val="0"/>
          <w:bCs w:val="0"/>
        </w:rPr>
        <w:t xml:space="preserve">, в том числе, информация о принятом им решении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либо об отсутствии необходимости такого уточнения.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принятия Заказчиком решения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Заказчик</w:t>
      </w:r>
      <w:r>
        <w:rPr>
          <w:rFonts w:ascii="Times New Roman" w:hAnsi="Times New Roman" w:cs="Times New Roman"/>
          <w:b w:val="0"/>
          <w:bCs w:val="0"/>
        </w:rPr>
        <w:t xml:space="preserve"> размещает в ЕИС уточненное извещение о закупке и уточненную документацию о закупке.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</w:t>
      </w:r>
      <w:r>
        <w:rPr>
          <w:rFonts w:ascii="Times New Roman" w:hAnsi="Times New Roman" w:cs="Times New Roman"/>
          <w:b w:val="0"/>
          <w:bCs w:val="0"/>
        </w:rPr>
        <w:t xml:space="preserve">альных характеристик (потребительских свойств) закупаемых товаров, работ, услуг, иных условий исполнения договора. При этом в уточненных извещении о закупке и документации о закупке устанавливается срок подачи окончательных предложений участников закупки.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принятия Заказчиком</w:t>
      </w:r>
      <w:r>
        <w:rPr>
          <w:rFonts w:ascii="Times New Roman" w:hAnsi="Times New Roman" w:cs="Times New Roman"/>
          <w:b w:val="0"/>
          <w:bCs w:val="0"/>
        </w:rPr>
        <w:t xml:space="preserve"> решения не вносить уточнения в извещение о закупке и документацию о закупке, информация об этом решении указывается в протоколе, составляемом по результатам проведения данного этапа конкурса. При этом участники закупки не подают окончательные предложения.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одно окончательное предложение в отношении каждого лота в любое время с момента размещения в ЕИС уточненных изв</w:t>
      </w:r>
      <w:r>
        <w:rPr>
          <w:rFonts w:ascii="Times New Roman" w:hAnsi="Times New Roman" w:cs="Times New Roman"/>
          <w:b w:val="0"/>
          <w:bCs w:val="0"/>
        </w:rPr>
        <w:t xml:space="preserve">ещения о закупке и документации о закупке до даты и времени окончания срока подачи окончательных предложений, установленных уточненными извещением и документацией. Подача окончательного предложения осуществляется в порядке, установленном для подачи заявки.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Любой участник закупки вправе отказаться от дальнейшего участия в закупке. Такой отказ выражается в непредставлении участником закупки окончательного предложения.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71" w:name="_Ref535416467"/>
      <w:r/>
      <w:bookmarkStart w:id="72" w:name="_Ref535416507"/>
      <w:r/>
      <w:bookmarkStart w:id="73" w:name="_Toc29"/>
      <w:r>
        <w:rPr>
          <w:sz w:val="24"/>
          <w:szCs w:val="24"/>
        </w:rPr>
        <w:t xml:space="preserve">Обсуждение Заказчиком предложений участников о функциональных характеристиках (потребительских свойствах) товаров, ка</w:t>
      </w:r>
      <w:r>
        <w:rPr>
          <w:sz w:val="24"/>
          <w:szCs w:val="24"/>
        </w:rPr>
        <w:t xml:space="preserve">честве работ, услуг и иных условиях 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</w:r>
      <w:bookmarkEnd w:id="71"/>
      <w:r/>
      <w:bookmarkEnd w:id="72"/>
      <w:r/>
      <w:bookmarkEnd w:id="7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74" w:name="_Ref535416231"/>
      <w:r>
        <w:rPr>
          <w:rFonts w:ascii="Times New Roman" w:hAnsi="Times New Roman" w:cs="Times New Roman"/>
          <w:b w:val="0"/>
          <w:bCs w:val="0"/>
        </w:rPr>
        <w:t xml:space="preserve">При проведении закупки Заказчик вправе принять решение о проведении такого </w:t>
      </w:r>
      <w:r>
        <w:rPr>
          <w:rFonts w:ascii="Times New Roman" w:hAnsi="Times New Roman" w:cs="Times New Roman"/>
          <w:b w:val="0"/>
          <w:bCs w:val="0"/>
        </w:rPr>
        <w:t xml:space="preserve">этапа закупки как «обсуждение заказчиком 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участников, в целях уточнения в извещени</w:t>
      </w:r>
      <w:r>
        <w:rPr>
          <w:rFonts w:ascii="Times New Roman" w:hAnsi="Times New Roman" w:cs="Times New Roman"/>
          <w:b w:val="0"/>
          <w:bCs w:val="0"/>
        </w:rPr>
        <w:t xml:space="preserve">и о закупке, документации о закупке, проекте договора требуемых характеристик (потребительских свойств) закупаемых товаров, работ, услуг». Информация о проведении такого этапа в рамках закупки указывается в пункте 7 части II «ИНФОРМАЦИОННАЯ КАРТА ЗАКУПКИ».</w:t>
      </w:r>
      <w:bookmarkEnd w:id="74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Указанный в пункте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_Ref535416231 \r \h  \* MERGEFORMAT </w:instrText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5.2.1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закупки проводится в сроки, предусмотренные в пункте 8 части II «ИНФОРМАЦИОННАЯ КАРТА ЗАКУПКИ», но не позднее срока окончания подачи заявок на участие в закупке, в порядке предусмотренным Регламентом ЭП.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Обсуждение с участниками закупки содержащихся в их заявках предложений о функциональных характеристиках (потребительских свойствах</w:t>
      </w:r>
      <w:r>
        <w:rPr>
          <w:rFonts w:ascii="Times New Roman" w:hAnsi="Times New Roman" w:cs="Times New Roman"/>
          <w:b w:val="0"/>
          <w:bCs w:val="0"/>
        </w:rPr>
        <w:t xml:space="preserve">) товаров, качестве работ, услуг и об иных условиях исполнения договора, должно осуществляться с участниками закупки, с учетом обеспечения равного доступа всех участников закупки,  к участию в этом обсуждении и соблюдения Заказчиком положений Федерального </w:t>
      </w:r>
      <w:hyperlink r:id="rId18" w:tooltip="consultantplus://offline/ref=D6F78F6F851C034ED1C7ABB4A68893F6BF7DE5685F5D9161D1FC60E77Cu8j8L" w:history="1">
        <w:r>
          <w:rPr>
            <w:rFonts w:ascii="Times New Roman" w:hAnsi="Times New Roman" w:cs="Times New Roman"/>
            <w:b w:val="0"/>
            <w:bCs w:val="0"/>
          </w:rPr>
          <w:t xml:space="preserve">закона</w:t>
        </w:r>
      </w:hyperlink>
      <w:r>
        <w:rPr>
          <w:rFonts w:ascii="Times New Roman" w:hAnsi="Times New Roman" w:cs="Times New Roman"/>
          <w:b w:val="0"/>
          <w:bCs w:val="0"/>
        </w:rPr>
        <w:t xml:space="preserve"> от 29 июля 2004 года № 98-ФЗ «О коммерческой тайне».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 результатам данного этапа закупки Заказчик составляет протокол, в котором указывает</w:t>
      </w:r>
      <w:r>
        <w:rPr>
          <w:rFonts w:ascii="Times New Roman" w:hAnsi="Times New Roman" w:cs="Times New Roman"/>
          <w:b w:val="0"/>
          <w:bCs w:val="0"/>
        </w:rPr>
        <w:t xml:space="preserve">ся в том числе информация о принятом им решении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либо об отсутствии необходимости такого уточнения.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принятия Заказчиком решения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</w:t>
      </w:r>
      <w:r>
        <w:rPr>
          <w:rFonts w:ascii="Times New Roman" w:hAnsi="Times New Roman" w:cs="Times New Roman"/>
          <w:b w:val="0"/>
          <w:bCs w:val="0"/>
        </w:rPr>
        <w:t xml:space="preserve">ра заказчик размещает в ЕИС уточненное извещение о закупке и документацию о закупке.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</w:t>
      </w:r>
      <w:r>
        <w:rPr>
          <w:rFonts w:ascii="Times New Roman" w:hAnsi="Times New Roman" w:cs="Times New Roman"/>
          <w:b w:val="0"/>
          <w:bCs w:val="0"/>
        </w:rPr>
        <w:t xml:space="preserve">альных характеристик (потребительских свойств) закупаемых товаров, работ, услуг, иных условий исполнения договора. При этом в уточненных извещении о закупке и документации о закупке устанавливается срок подачи окончательных предложений участников закупки.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принятия з</w:t>
      </w:r>
      <w:r>
        <w:rPr>
          <w:rFonts w:ascii="Times New Roman" w:hAnsi="Times New Roman" w:cs="Times New Roman"/>
          <w:b w:val="0"/>
          <w:bCs w:val="0"/>
        </w:rPr>
        <w:t xml:space="preserve">аказчиком решения не вносить уточнения в извещение и конкурсную документацию, информация об этом решении указывается в протоколе, составляемом по результатам проведения данного этапа конкурса. При этом участники закупки не подают окончательные предложения.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одно окончательное предложение в отношении каждого лота в любое время с момента размещения в ЕИС уточненных изв</w:t>
      </w:r>
      <w:r>
        <w:rPr>
          <w:rFonts w:ascii="Times New Roman" w:hAnsi="Times New Roman" w:cs="Times New Roman"/>
          <w:b w:val="0"/>
          <w:bCs w:val="0"/>
        </w:rPr>
        <w:t xml:space="preserve">ещения о закупке и документации о закупке до даты и времени окончания срока подачи окончательных предложений, установленных уточненными извещением и документацией. Подача окончательного предложения осуществляется в порядке, установленном для подачи заявки.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Любой участник закупки вправе отказаться от дальнейшего участия в закупке. Такой отказ выражается в непредставлении участником закупки окончательного предложения.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75" w:name="_Toc30"/>
      <w:r>
        <w:rPr>
          <w:sz w:val="24"/>
          <w:szCs w:val="24"/>
        </w:rPr>
        <w:t xml:space="preserve">Рассмотрение и оценка Заказчиком поданных участниками закупки заявок</w:t>
      </w:r>
      <w:bookmarkEnd w:id="7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Этап закупки</w:t>
      </w:r>
      <w:r>
        <w:rPr>
          <w:rFonts w:ascii="Times New Roman" w:hAnsi="Times New Roman" w:cs="Times New Roman"/>
          <w:b w:val="0"/>
          <w:bCs w:val="0"/>
        </w:rPr>
        <w:t xml:space="preserve"> «рассмотрение и оценка Заказчиком поданных участниками закупки заявок» проводится Заказчиком в срок, предусмотренный извещением и документацией о закупке (либо уточненным извещение и/или документацией о закупке), в порядке, установленном разделом 7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I</w:t>
      </w:r>
      <w:r>
        <w:rPr>
          <w:rFonts w:ascii="Times New Roman" w:hAnsi="Times New Roman" w:cs="Times New Roman"/>
          <w:b w:val="0"/>
          <w:bCs w:val="0"/>
        </w:rPr>
        <w:t xml:space="preserve"> «ОБЩИЕ УСЛОВИЯ ПРОВЕДЕНИЯ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76" w:name="_Toc31"/>
      <w:r>
        <w:rPr>
          <w:sz w:val="24"/>
          <w:szCs w:val="24"/>
        </w:rPr>
        <w:t xml:space="preserve">Сопоставление дополнительных ценовых предложений участников о снижении цены договора</w:t>
      </w:r>
      <w:bookmarkEnd w:id="7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проведении закупки Заказчик вправе при</w:t>
      </w:r>
      <w:r>
        <w:rPr>
          <w:rFonts w:ascii="Times New Roman" w:hAnsi="Times New Roman" w:cs="Times New Roman"/>
          <w:b w:val="0"/>
          <w:bCs w:val="0"/>
        </w:rPr>
        <w:t xml:space="preserve">нять решение о проведении такого этапа закупки как «сопоставление дополнительных ценовых предложений участников о снижении цены договора». Информация о проведении такого этапа в рамках закупки указывается в пункте 7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Проведение этапа сопоставления дополнительных ценовых предложений участников осуществляется оператором ЭП в порядке, установленном Регламентом работы ЭП.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Подача дополнительных ценовых предложений проводится на электронной площадке в день, у</w:t>
      </w:r>
      <w:r>
        <w:rPr>
          <w:rFonts w:ascii="Times New Roman" w:hAnsi="Times New Roman" w:cs="Times New Roman"/>
          <w:b w:val="0"/>
          <w:bCs w:val="0"/>
        </w:rPr>
        <w:t xml:space="preserve">казанный в пункте 8 части II «ИНФОРМАЦИОННАЯ КАРТА ЗАКУПКИ», либо, в случае принятия Заказчиком решения после окончания срока подачи заявок изменить дату подачи дополнительных ценовых предложений – в день, указанный в протоколе Закупочной комиссии. Информа</w:t>
      </w:r>
      <w:r>
        <w:rPr>
          <w:rFonts w:ascii="Times New Roman" w:hAnsi="Times New Roman" w:cs="Times New Roman"/>
          <w:b w:val="0"/>
          <w:bCs w:val="0"/>
        </w:rPr>
        <w:t xml:space="preserve">ция о времени начала проведения указанного этапа размещается оператором ЭП в ЕИС в соответствии со временем часовой зоны, в которой расположен заказчик. Продолжительность приема дополнительных ценовых предложений от участников закупки составляет три часа.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Участники закупки должны быть проинформированы о наименьшем ценовом предложении из всех ценовых предложений, поданных участниками такой закупки с использованием программно-аппаратных средств ЭП.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Участники закупки вправе подать на ЭП одно дополнительное ценовое предложение, которое должно быть ниже ценового предложения, поданного ими ранее.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Участники закупки, подавшие дополнительное ценовое предложение и сни</w:t>
      </w:r>
      <w:r>
        <w:rPr>
          <w:rFonts w:ascii="Times New Roman" w:hAnsi="Times New Roman" w:cs="Times New Roman"/>
          <w:b w:val="0"/>
          <w:bCs w:val="0"/>
        </w:rPr>
        <w:t xml:space="preserve">зившие свою цену, обязаны дополнительно представить откорректированные с учетом новой цены документы, определяющие их ценовое предложение. Изменение цены в сторону снижения не должно повлечь за собой изменение иных условий заявки участника, кроме ценового.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участник закупки не меняет свое ценовое предложение, он вправе не подавать дополнительное ценовое предложение. При этом ранее поданное им ценовое предложение рассматривается при составлении итогового протокола.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Результаты осуществленного оператором</w:t>
      </w:r>
      <w:r>
        <w:rPr>
          <w:rFonts w:ascii="Times New Roman" w:hAnsi="Times New Roman" w:cs="Times New Roman"/>
          <w:b w:val="0"/>
          <w:bCs w:val="0"/>
        </w:rPr>
        <w:t xml:space="preserve"> ЭП сопоставления ценовых предложений, дополнительных ценовых предложений, а также информацию о ценовых предложениях, дополнительных ценовых предложениях каждого участника закупки направляются оператором ЭП Заказчику в установленном Законом 223-ФЗ порядке.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</w:pPr>
      <w:r/>
      <w:r/>
    </w:p>
    <w:p>
      <w:pPr>
        <w:pStyle w:val="805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77" w:name="_Toc32"/>
      <w:r/>
      <w:bookmarkStart w:id="78" w:name="_Ref119430360"/>
      <w:r>
        <w:rPr>
          <w:sz w:val="24"/>
          <w:szCs w:val="24"/>
        </w:rPr>
        <w:t xml:space="preserve">ПОРЯДОК ПРОВЕДЕНИЯ РАССМОТРЕНИЯ, ОЦЕНКИ И СОПОСТАВЛЕНИЯ ЗАЯВОК НА УЧАСТИЕ В ЗАКУПКЕ</w:t>
      </w:r>
      <w:bookmarkEnd w:id="7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79" w:name="_Toc33"/>
      <w:r/>
      <w:bookmarkStart w:id="80" w:name="_Ref125827199"/>
      <w:r/>
      <w:bookmarkEnd w:id="78"/>
      <w:r>
        <w:rPr>
          <w:sz w:val="24"/>
          <w:szCs w:val="24"/>
        </w:rPr>
        <w:t xml:space="preserve">Закупочная комиссия</w:t>
      </w:r>
      <w:bookmarkEnd w:id="7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Рассмотрение, оценка и сопоставления заявок осуществляется Закупочной комиссией, осуществляющей свои полномочия в порядке, установленном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1" w:name="_Toc34"/>
      <w:r>
        <w:rPr>
          <w:sz w:val="24"/>
          <w:szCs w:val="24"/>
        </w:rPr>
        <w:t xml:space="preserve">Требования к процедуре рассмотрения, оценки и сопоставления заявок участников закупки</w:t>
      </w:r>
      <w:bookmarkEnd w:id="8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в соответствии с требованиями, критериями и порядком оценки заявок, устанавливаемыми в документации о закупке, на основании пр</w:t>
      </w:r>
      <w:r>
        <w:rPr>
          <w:rFonts w:ascii="Times New Roman" w:hAnsi="Times New Roman" w:cs="Times New Roman"/>
          <w:b w:val="0"/>
          <w:bCs w:val="0"/>
        </w:rPr>
        <w:t xml:space="preserve">едставленных в составе заявок информации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</w:t>
      </w:r>
      <w:r>
        <w:rPr>
          <w:rFonts w:ascii="Times New Roman" w:hAnsi="Times New Roman" w:cs="Times New Roman"/>
          <w:b w:val="0"/>
          <w:bCs w:val="0"/>
        </w:rPr>
        <w:t xml:space="preserve">вора требования и осуществлять оценку и сопоставление заявок на участие в закупке по критериям и в порядке, которые не указаны в документации о закупке. Требования, предъявляемые к участникам закупки, к закупаемым товарам, работам, услугам, а также к услов</w:t>
      </w:r>
      <w:r>
        <w:rPr>
          <w:rFonts w:ascii="Times New Roman" w:hAnsi="Times New Roman" w:cs="Times New Roman"/>
          <w:b w:val="0"/>
          <w:bCs w:val="0"/>
        </w:rPr>
        <w:t xml:space="preserve">иям исполнения договора, критерии и порядок оценки и сопоставления заявок на участие в закупке, установленные Заказчиком, применяются в равной степени ко всем участникам закупки, к предлагаемым ими товарам, работам, услугам, к условиям исполнения договора.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tabs>
          <w:tab w:val="clear" w:pos="312" w:leader="none"/>
          <w:tab w:val="num" w:pos="596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рамках рассмотрения заявок закупочная комиссия</w:t>
      </w:r>
      <w:r>
        <w:rPr>
          <w:rFonts w:ascii="Times New Roman" w:hAnsi="Times New Roman" w:cs="Times New Roman"/>
          <w:b w:val="0"/>
          <w:bCs w:val="0"/>
        </w:rPr>
        <w:t xml:space="preserve"> вправе направить участнику закупки запрос на разъяснение положений заявки участника. При этом Заказчик направляет участнику запрос через функционал ЭП, либо на электронный адрес главного пользователя участника, указанный в информации об организации на ЭП.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  <w:spacing w:after="0"/>
      </w:pPr>
      <w:r>
        <w:t xml:space="preserve">После направления Заказчиком запроса, участник закупки не позднее срока, установленного Заказчиком в</w:t>
      </w:r>
      <w:r>
        <w:t xml:space="preserve"> рамках запроса, обязан направить требуемую информацию через функционал ЭП, либо на электронный адрес Заказчика, с которого был направлен запрос или указанный в запросе. В направляемом сообщении участник должен указать в теме письма номер процедуры на ЭП. </w:t>
      </w:r>
      <w:r/>
    </w:p>
    <w:p>
      <w:pPr>
        <w:ind w:firstLine="567"/>
        <w:spacing w:after="0"/>
      </w:pPr>
      <w:r>
        <w:t xml:space="preserve">Срок запроса устанавливается Заказчиком одинаково для всех участников закупки, которым направляется запрос, и не должен составлять менее 24 часов (без учета выходных и праздничных дней).</w:t>
      </w:r>
      <w:r/>
    </w:p>
    <w:p>
      <w:pPr>
        <w:ind w:firstLine="567"/>
        <w:spacing w:after="0"/>
      </w:pPr>
      <w:r>
        <w:t xml:space="preserve">Направляемые файлы должны быть названы таким образом, чтобы было понятно, для устранения какого замечания приложен документ. При этом все возможные риски отклонения заявки и ответственность, связанные с несвоевременным предоставлением</w:t>
      </w:r>
      <w:r>
        <w:t xml:space="preserve"> разъяснений по запросу Заказчика, несет участник. Разъяснения, поступившие в ответ на запрос после истечения указанного в нем срока, Заказчик вправе не принимать, а Закупочная комиссия не рассматривать и не учитывать при принятии решений в рамках закупки.</w:t>
      </w:r>
      <w:r/>
    </w:p>
    <w:p>
      <w:pPr>
        <w:ind w:firstLine="567"/>
        <w:spacing w:after="0"/>
      </w:pPr>
      <w:r>
        <w:t xml:space="preserve">Не принимаются к рассмотрению докум</w:t>
      </w:r>
      <w:r>
        <w:t xml:space="preserve">енты и сведения, направленные участником в ходе исполнения запроса, которые изменяют существо заявки участника включая изменение коммерческих условий заявки (цены, валюты, сроков и условий поставки, графика поставки или платежа, иных коммерческих условий).</w:t>
      </w:r>
      <w:r/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отклоняет заявку участника в случаях, если: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6"/>
        <w:numPr>
          <w:ilvl w:val="0"/>
          <w:numId w:val="14"/>
        </w:numPr>
        <w:ind w:left="0" w:firstLine="567"/>
        <w:jc w:val="both"/>
      </w:pPr>
      <w:r>
        <w:t xml:space="preserve">участник не соответствует требованиям к участнику закупки, установленным документацией о закупке, в том числе если сведения об участ</w:t>
      </w:r>
      <w:r>
        <w:t xml:space="preserve">нике закупки или привлекаемом участником закупки субподрядчике (соисполнителе) из числа субъектов МСП (в случае установления требования о привлечении такого субподрядчика (соисполнителя) в документации о закупке) отсутствуют в едином реестре субъектов МСП;</w:t>
      </w:r>
      <w:r/>
    </w:p>
    <w:p>
      <w:pPr>
        <w:pStyle w:val="1126"/>
        <w:numPr>
          <w:ilvl w:val="0"/>
          <w:numId w:val="14"/>
        </w:numPr>
        <w:ind w:left="0" w:firstLine="567"/>
        <w:jc w:val="both"/>
        <w:tabs>
          <w:tab w:val="num" w:pos="0" w:leader="none"/>
        </w:tabs>
      </w:pPr>
      <w:r>
        <w:t xml:space="preserve">заявка участника не соответствует требованиям, </w:t>
      </w:r>
      <w:r>
        <w:t xml:space="preserve">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  <w:r/>
    </w:p>
    <w:p>
      <w:pPr>
        <w:pStyle w:val="1126"/>
        <w:numPr>
          <w:ilvl w:val="0"/>
          <w:numId w:val="14"/>
        </w:numPr>
        <w:ind w:left="0" w:firstLine="567"/>
        <w:jc w:val="both"/>
        <w:tabs>
          <w:tab w:val="num" w:pos="0" w:leader="none"/>
        </w:tabs>
      </w:pPr>
      <w:r>
        <w:t xml:space="preserve">участник закупки предоставил недостоверную информацию (сведения) в составе своей заявки, в том числе в отношении своего соответствия требованиям, установленным документацией о закупке.</w:t>
      </w:r>
      <w:r/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вправе отклонить заявки участников,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</w:t>
      </w:r>
      <w:r>
        <w:rPr>
          <w:rFonts w:ascii="Times New Roman" w:hAnsi="Times New Roman" w:cs="Times New Roman"/>
          <w:b w:val="0"/>
          <w:bCs w:val="0"/>
        </w:rPr>
        <w:t xml:space="preserve">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заявке, а также проводить выездные проверки.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0"/>
          <w:numId w:val="15"/>
        </w:numPr>
        <w:ind w:left="0" w:firstLine="567"/>
        <w:keepNext w:val="0"/>
        <w:spacing w:before="0" w:after="0"/>
        <w:tabs>
          <w:tab w:val="num" w:pos="0" w:leader="none"/>
          <w:tab w:val="clear" w:pos="432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признании участника и/или заявки участника соответствующей требованиям документации о закупке;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08"/>
        <w:numPr>
          <w:ilvl w:val="0"/>
          <w:numId w:val="15"/>
        </w:numPr>
        <w:ind w:left="0" w:firstLine="567"/>
        <w:keepNext w:val="0"/>
        <w:spacing w:before="0" w:after="0"/>
        <w:tabs>
          <w:tab w:val="num" w:pos="0" w:leader="none"/>
          <w:tab w:val="clear" w:pos="432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до за</w:t>
      </w:r>
      <w:r>
        <w:rPr>
          <w:rFonts w:ascii="Times New Roman" w:hAnsi="Times New Roman" w:cs="Times New Roman"/>
          <w:b w:val="0"/>
          <w:bCs w:val="0"/>
        </w:rPr>
        <w:t xml:space="preserve">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</w:t>
      </w:r>
      <w:r>
        <w:rPr>
          <w:rFonts w:ascii="Times New Roman" w:hAnsi="Times New Roman" w:cs="Times New Roman"/>
          <w:b w:val="0"/>
          <w:bCs w:val="0"/>
        </w:rPr>
        <w:t xml:space="preserve">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tabs>
          <w:tab w:val="clear" w:pos="312" w:leader="none"/>
          <w:tab w:val="num" w:pos="596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отклоняет участника зак</w:t>
      </w:r>
      <w:r>
        <w:rPr>
          <w:rFonts w:ascii="Times New Roman" w:hAnsi="Times New Roman" w:cs="Times New Roman"/>
          <w:b w:val="0"/>
          <w:bCs w:val="0"/>
        </w:rPr>
        <w:t xml:space="preserve">упки от участия, а 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Заказчик или Закупочная комиссия обнаружит, что участник за</w:t>
      </w:r>
      <w:r>
        <w:rPr>
          <w:rFonts w:ascii="Times New Roman" w:hAnsi="Times New Roman" w:cs="Times New Roman"/>
          <w:b w:val="0"/>
          <w:bCs w:val="0"/>
        </w:rPr>
        <w:t xml:space="preserve">купки и (или) заявка участника закупки не соответствуют требованиям, установленным в документации о закупке или участник закупки предоставил недостоверную информацию (сведения) в отношении своего соответствия либо соответствия заявки указанным требованиям.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2" w:name="_Toc35"/>
      <w:r>
        <w:rPr>
          <w:sz w:val="24"/>
          <w:szCs w:val="24"/>
        </w:rPr>
        <w:t xml:space="preserve">Критерии оценки заявок участников закупки</w:t>
      </w:r>
      <w:bookmarkEnd w:id="8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Заявки участников закупки оцениваются исходя из критериев и в порядке, установленном в приложении 1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Рассмотрение, оценка и сопоставления заявок участников осуществляется в рамках проведения этапов закупки, установленных в пункте 8 части II «ИНФОРМАЦИОННАЯ КАРТА ЗАКУПКИ» с учетом сведений и документов, содержащихся в заявках участников закупок, направ</w:t>
      </w:r>
      <w:r>
        <w:rPr>
          <w:rFonts w:ascii="Times New Roman" w:hAnsi="Times New Roman" w:cs="Times New Roman"/>
          <w:b w:val="0"/>
          <w:bCs w:val="0"/>
        </w:rPr>
        <w:t xml:space="preserve">ляемых Заказчику оператором ЭП в порядке и в соответствии с требованиями, установленными законодательством о закупках отдельными видами юридических лиц. При этом по результатам каждого этапа закупки составляется отдельный протокол, составляемый в соответст</w:t>
      </w:r>
      <w:r>
        <w:rPr>
          <w:rFonts w:ascii="Times New Roman" w:hAnsi="Times New Roman" w:cs="Times New Roman"/>
          <w:b w:val="0"/>
          <w:bCs w:val="0"/>
        </w:rPr>
        <w:t xml:space="preserve">вии с требованиями, установленными Законом 223-ФЗ и Положением о закупке Заказчика. Протокол по результатам последнего этапа не составляется. По окончании последнего этапа закупки, по итогам которого определяется победитель, составляется итоговый протокол.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закупке, окончательное предложение которого соответствует требованиям, установ</w:t>
      </w:r>
      <w:r>
        <w:rPr>
          <w:rFonts w:ascii="Times New Roman" w:hAnsi="Times New Roman" w:cs="Times New Roman"/>
          <w:b w:val="0"/>
          <w:bCs w:val="0"/>
        </w:rPr>
        <w:t xml:space="preserve">ленным документацией о закупке, и заявка, окончательное предложение которого по результатам сопоставления заявок, окончательных предложений на основании указанных в документации о такой закупке критериев оценки содержит лучшие условия исполнения договора. </w:t>
      </w:r>
      <w:r>
        <w:rPr>
          <w:rFonts w:ascii="Times New Roman" w:hAnsi="Times New Roman" w:cs="Times New Roman"/>
          <w:b w:val="0"/>
        </w:rPr>
        <w:t xml:space="preserve"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3" w:name="_Toc36"/>
      <w:r>
        <w:rPr>
          <w:sz w:val="24"/>
          <w:szCs w:val="24"/>
        </w:rPr>
        <w:t xml:space="preserve">Особенности осуществления рассмотрения, оценки и сопоставления первых частей заявок</w:t>
      </w:r>
      <w:bookmarkEnd w:id="8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Первые части заявок участников рассматриваются на соответствие требованиям, установленным настоящей документацией к</w:t>
      </w:r>
      <w:r>
        <w:rPr>
          <w:rFonts w:ascii="Times New Roman" w:hAnsi="Times New Roman" w:cs="Times New Roman"/>
          <w:b w:val="0"/>
          <w:bCs w:val="0"/>
        </w:rPr>
        <w:t xml:space="preserve"> поставляемому товару, выполняемым работам, оказываемым услугам, которые являются предметом закупки на основании представленных в составе заявок документов (технического предложения и иных документов в соответствии с требованиями закупочной документации).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 В СООТВЕТСТВИИ С Ч. 21 СТ. 3.4 ЗАКОНА 223-ФЗ В СЛУЧАЕ СОДЕРЖАНИЯ В ПЕРВОЙ ЧАСТИ ЗАЯВКИ НА УЧАСТИЕ В ЗАКУПКЕ СВЕДЕНИЙ ОБ УЧАСТНИКЕ ЗАКУПКЕ И (ИЛИ) О ЦЕНОВОМ ПРЕДЛОЖЕНИИ ТАКАЯ ЗАЯВКА ПОДЛЕЖИТ ОТКЛОНЕНИЮ.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установления в приложении 1 части II «ИНФОРМАЦИОННАЯ КАРТА ЗАКУПКИ» оценочных критериев, предусматривающих оценку технического предложения участника, оценк</w:t>
      </w:r>
      <w:r>
        <w:rPr>
          <w:rFonts w:ascii="Times New Roman" w:hAnsi="Times New Roman" w:cs="Times New Roman"/>
          <w:b w:val="0"/>
          <w:bCs w:val="0"/>
        </w:rPr>
        <w:t xml:space="preserve">у соответствия предлагаемой продукции требованиям установленным в соответствии с законодательством о техническом регулировании, законодательством о стандартизации, иным требованиям, связанным с определением соответствия поставляемого товара, выполняемой ра</w:t>
      </w:r>
      <w:r>
        <w:rPr>
          <w:rFonts w:ascii="Times New Roman" w:hAnsi="Times New Roman" w:cs="Times New Roman"/>
          <w:b w:val="0"/>
          <w:bCs w:val="0"/>
        </w:rPr>
        <w:t xml:space="preserve">боты, оказываемой услуги потребностям Заказчика, к условиям исполнения договора,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</w:t>
      </w:r>
      <w:r>
        <w:rPr>
          <w:rFonts w:ascii="Times New Roman" w:hAnsi="Times New Roman" w:cs="Times New Roman"/>
          <w:b w:val="0"/>
          <w:bCs w:val="0"/>
        </w:rPr>
        <w:t xml:space="preserve">ям, информация о результатах которой отражается в протоколе. При этом отсутствие в первой части заявки информации и документов, подлежащих представлению для осуществления ее оценки по соответствующим критериям, не является основанием для отклонения заявки.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4" w:name="_Toc37"/>
      <w:r>
        <w:rPr>
          <w:sz w:val="24"/>
          <w:szCs w:val="24"/>
        </w:rPr>
        <w:t xml:space="preserve">Особенности осуществления рассмотрения, оценки и сопоставления вторых частей заявок</w:t>
      </w:r>
      <w:bookmarkEnd w:id="8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вторые части заявок участников на предмет их соответствия требованиям, установленным документацией о закупке, а также осуществляет оценку и сопоставление заявок участников в соответствии с пор</w:t>
      </w:r>
      <w:r>
        <w:rPr>
          <w:rFonts w:ascii="Times New Roman" w:hAnsi="Times New Roman" w:cs="Times New Roman"/>
          <w:b w:val="0"/>
          <w:bCs w:val="0"/>
        </w:rPr>
        <w:t xml:space="preserve">ядком и критериями, установленными документацией о закупке. При этом отсутствие во второй части заявки информации и документов, подлежащих представлению для осуществления ее оценки по соответствующим критериям, не является основанием для отклонения заявки.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5" w:name="_Toc38"/>
      <w:r>
        <w:rPr>
          <w:sz w:val="24"/>
          <w:szCs w:val="24"/>
        </w:rPr>
        <w:t xml:space="preserve">Особенности осуществления рассмотрения, оценки и сопоставления ценовых предложений участников закупки</w:t>
      </w:r>
      <w:bookmarkEnd w:id="8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 ценовых предложений, дополнительных ценовых предложений осуществляется Закупочной коми</w:t>
      </w:r>
      <w:r>
        <w:rPr>
          <w:rFonts w:ascii="Times New Roman" w:hAnsi="Times New Roman" w:cs="Times New Roman"/>
          <w:b w:val="0"/>
          <w:bCs w:val="0"/>
        </w:rPr>
        <w:t xml:space="preserve">ссией после направления оператором ЭП результатов сопоставления ценовых предложений, дополнительных ценовых предложений, а также информации о ценовых предложениях, дополнительных ценовых предложениях (далее – ценовые предложения) каждого участника закупки.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 и сопоставление ценовых предложений осуществляется в порядке и в соответствии с требованиями, установленными в приложениях 1, 2 части II «ИНФОРМАЦИОННАЯ КАРТА ЗАКУПКИ», в том числе в части непревышения ценового пред</w:t>
      </w:r>
      <w:r>
        <w:rPr>
          <w:rFonts w:ascii="Times New Roman" w:hAnsi="Times New Roman" w:cs="Times New Roman"/>
          <w:b w:val="0"/>
          <w:bCs w:val="0"/>
        </w:rPr>
        <w:t xml:space="preserve">ложения участника начальной (максимальной) цены договора/цены лота, непревышения единицы продукции (если такое требование  установлено в документации о закупке), в части соблюдения требований по предоставлению преимущества, предусмотренного ПП № 1875 и др.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6" w:name="_Toc39"/>
      <w:r>
        <w:rPr>
          <w:sz w:val="24"/>
          <w:szCs w:val="24"/>
        </w:rPr>
        <w:t xml:space="preserve">Признание закупки несостоявшейся</w:t>
      </w:r>
      <w:bookmarkEnd w:id="8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7" w:name="_Toc40"/>
      <w:r>
        <w:rPr>
          <w:sz w:val="24"/>
          <w:szCs w:val="24"/>
        </w:rPr>
        <w:t xml:space="preserve">Рассмотрение жалоб и обращений участников закупки</w:t>
      </w:r>
      <w:bookmarkEnd w:id="8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 жалоб и обращений участников закупки осуществляется в порядке, предусмотренном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</w:t>
      </w:r>
      <w:r>
        <w:rPr>
          <w:rFonts w:ascii="Times New Roman" w:hAnsi="Times New Roman" w:cs="Times New Roman"/>
          <w:b w:val="0"/>
          <w:bCs w:val="0"/>
        </w:rPr>
        <w:t xml:space="preserve">дрес Заказчика, указанный в извещении о закупке и документации о закупке запрос о разъяснении причин отклонения заявки такого участника. Заказчик обязан ответить на такой запрос в срок не позднее 10 (десяти) рабочих дней с момента получения такого запроса.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r/>
      <w:r/>
    </w:p>
    <w:p>
      <w:pPr>
        <w:pStyle w:val="805"/>
        <w:numPr>
          <w:ilvl w:val="0"/>
          <w:numId w:val="1"/>
        </w:numPr>
        <w:ind w:left="0" w:firstLine="567"/>
        <w:jc w:val="left"/>
        <w:keepNext w:val="0"/>
        <w:spacing w:before="0" w:after="0"/>
        <w:rPr>
          <w:sz w:val="24"/>
          <w:szCs w:val="24"/>
        </w:rPr>
      </w:pPr>
      <w:r/>
      <w:bookmarkStart w:id="88" w:name="Par110"/>
      <w:r/>
      <w:bookmarkStart w:id="89" w:name="Par144"/>
      <w:r/>
      <w:bookmarkStart w:id="90" w:name="_Toc41"/>
      <w:r/>
      <w:bookmarkEnd w:id="80"/>
      <w:r/>
      <w:bookmarkEnd w:id="88"/>
      <w:r/>
      <w:bookmarkEnd w:id="89"/>
      <w:r>
        <w:rPr>
          <w:sz w:val="24"/>
          <w:szCs w:val="24"/>
        </w:rPr>
        <w:t xml:space="preserve">ЗАКЛЮЧЕНИЕ, ИЗМЕНЕНИЕ И РАСТОРЖЕНИЕ ДОГОВОРА</w:t>
      </w:r>
      <w:bookmarkEnd w:id="9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91" w:name="_Toc42"/>
      <w:r/>
      <w:bookmarkStart w:id="92" w:name="_Ref130891676"/>
      <w:r>
        <w:rPr>
          <w:sz w:val="24"/>
          <w:szCs w:val="24"/>
        </w:rPr>
        <w:t xml:space="preserve">Срок и порядок заключения договора</w:t>
      </w:r>
      <w:bookmarkEnd w:id="9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Договор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участника такой закупки, с которым заключается договор</w:t>
      </w:r>
      <w:r>
        <w:rPr>
          <w:rFonts w:ascii="Times New Roman" w:hAnsi="Times New Roman" w:cs="Times New Roman"/>
          <w:b w:val="0"/>
          <w:bCs w:val="0"/>
        </w:rPr>
        <w:t xml:space="preserve">. По результатам закупки с участником может быть заключено также несколько договоров, информация об этом указывается в пункте 21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Заказчиком может быть предусмотрена возможность заключения договора по результатам закупки </w:t>
      </w:r>
      <w:r>
        <w:rPr>
          <w:rFonts w:ascii="Times New Roman" w:hAnsi="Times New Roman" w:cs="Times New Roman"/>
          <w:b w:val="0"/>
          <w:bCs w:val="0"/>
        </w:rPr>
        <w:t xml:space="preserve">с несколькими участниками, признанными победителями закупки. Информация об установлении такой возможности указывается в пункте 22 части II «ИНФОРМАЦИОННАЯ КАРТА ЗАКУПКИ». Порядок выбора нескольких победителей закупки устанавливается в Приложении 1 к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II</w:t>
      </w:r>
      <w:r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 заключения (подписания) договора, не позднее 2 (двух) рабочих дней со дня, следующего за днем размещения в ЕИС итогового протокола, участник закупки, с которым заключается договор, должен направить Заказчику: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  <w:spacing w:after="0"/>
      </w:pPr>
      <w:r>
        <w:t xml:space="preserve">- сведения в отношении всей цепочки собственников, включая конечных бенефициаров;</w:t>
      </w:r>
      <w:r/>
    </w:p>
    <w:p>
      <w:pPr>
        <w:ind w:firstLine="567"/>
        <w:spacing w:after="0"/>
      </w:pPr>
      <w:r>
        <w:t xml:space="preserve">- согласие на обработку персональных данных.</w:t>
      </w:r>
      <w:r/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(подписывается) только после предоставления участником</w:t>
      </w:r>
      <w:r>
        <w:rPr>
          <w:rFonts w:ascii="Times New Roman" w:hAnsi="Times New Roman" w:cs="Times New Roman"/>
          <w:b w:val="0"/>
          <w:bCs w:val="0"/>
        </w:rPr>
        <w:t xml:space="preserve"> закупки, с которым заключается договор, обеспечения исполнения обязательств по договору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с использованием программно-аппаратных средств ЭП и должен быть подписан электронной подписью лиц, имеющих право действовать от имени участника такой закупки и Заказчика соответственно.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по результа</w:t>
      </w:r>
      <w:r>
        <w:rPr>
          <w:rFonts w:ascii="Times New Roman" w:hAnsi="Times New Roman" w:cs="Times New Roman"/>
          <w:b w:val="0"/>
          <w:bCs w:val="0"/>
        </w:rPr>
        <w:t xml:space="preserve">там закупки заключается в срок не ранее чем через десять дней и не позднее чем через двадцать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</w:t>
      </w:r>
      <w:r>
        <w:rPr>
          <w:rFonts w:ascii="Times New Roman" w:hAnsi="Times New Roman" w:cs="Times New Roman"/>
          <w:b w:val="0"/>
          <w:bCs w:val="0"/>
        </w:rPr>
        <w:t xml:space="preserve">рации заключения договора или в случае обжалования в антимонопольном органе либо в судебном порядке действий (бездействия) Заказчика, закупочной комиссии, оператора электронной площадки договор должен быть заключен в сроки, установленные законодательством.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направляет подписанный электронной подписью проект договора в течение 2 (двух) рабочих дней с даты согласования проекта договора в соответствии с порядком, установ</w:t>
      </w:r>
      <w:r>
        <w:rPr>
          <w:rFonts w:ascii="Times New Roman" w:hAnsi="Times New Roman" w:cs="Times New Roman"/>
          <w:b w:val="0"/>
          <w:bCs w:val="0"/>
        </w:rPr>
        <w:t xml:space="preserve">ленным внутренними организационно-распорядительными документами Заказчика, но не ранее чем через 10 дней с даты размещения в ЕИС итогового протокола по результатам закупки, при условии, что участником закупки, с которым заключается договор, предоставлены: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- документы, поименованные в п. 7.1.3 документации о закупке;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-  обеспечение исполнения обязательств по договору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подписывает электронной подписью проект договора в течение 3 (трех) рабочих дней с даты направления ему проекта договора, подписанного Заказчиком.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с которым заключается договор составляет протокол разногласий с указанием замечаний к положе</w:t>
      </w:r>
      <w:r>
        <w:rPr>
          <w:rFonts w:ascii="Times New Roman" w:hAnsi="Times New Roman" w:cs="Times New Roman"/>
          <w:b w:val="0"/>
          <w:bCs w:val="0"/>
        </w:rPr>
        <w:t xml:space="preserve">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с использованием программно-аппаратных средств электр</w:t>
      </w:r>
      <w:r>
        <w:rPr>
          <w:rFonts w:ascii="Times New Roman" w:hAnsi="Times New Roman" w:cs="Times New Roman"/>
          <w:b w:val="0"/>
          <w:bCs w:val="0"/>
        </w:rPr>
        <w:t xml:space="preserve">онной площадки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</w:t>
      </w:r>
      <w:r>
        <w:rPr>
          <w:rFonts w:ascii="Times New Roman" w:hAnsi="Times New Roman" w:cs="Times New Roman"/>
          <w:b w:val="0"/>
          <w:bCs w:val="0"/>
        </w:rPr>
        <w:t xml:space="preserve">ботанный проект договора,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6"/>
        <w:numPr>
          <w:ilvl w:val="1"/>
          <w:numId w:val="9"/>
        </w:numPr>
        <w:ind w:left="0" w:firstLine="567"/>
        <w:jc w:val="both"/>
        <w:spacing w:after="0"/>
        <w:tabs>
          <w:tab w:val="left" w:pos="1134" w:leader="none"/>
        </w:tabs>
        <w:rPr>
          <w:bCs w:val="0"/>
          <w:sz w:val="24"/>
          <w:szCs w:val="24"/>
        </w:rPr>
      </w:pPr>
      <w:r/>
      <w:bookmarkStart w:id="93" w:name="_Toc43"/>
      <w:r>
        <w:rPr>
          <w:bCs w:val="0"/>
          <w:sz w:val="24"/>
          <w:szCs w:val="24"/>
        </w:rPr>
        <w:t xml:space="preserve">Обеспечения исполнения договора, порядок предоставления такого обеспечения, требования к такому обеспечению</w:t>
      </w:r>
      <w:bookmarkEnd w:id="93"/>
      <w:r>
        <w:rPr>
          <w:bCs w:val="0"/>
          <w:sz w:val="24"/>
          <w:szCs w:val="24"/>
        </w:rPr>
      </w:r>
      <w:r>
        <w:rPr>
          <w:bCs w:val="0"/>
          <w:sz w:val="24"/>
          <w:szCs w:val="24"/>
        </w:rPr>
      </w:r>
    </w:p>
    <w:p>
      <w:pPr>
        <w:pStyle w:val="807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Заказчик вправе установи</w:t>
      </w:r>
      <w:r>
        <w:rPr>
          <w:rFonts w:ascii="Times New Roman" w:hAnsi="Times New Roman" w:cs="Times New Roman"/>
          <w:b w:val="0"/>
        </w:rPr>
        <w:t xml:space="preserve">ть в документации о закупке требование к обеспечению исполнения договора. Информация об установлении требования о предоставлении обеспечения исполнения договора и размер такого обеспечения указывается в пункте 18 раздела II «ИНФОРМАЦИОННАЯ КАРТА ЗАКУПКИ». 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7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Обеспечение исполнения договора может быть представлено в форме внесения денежных средств на счет Заказчика, указанный в пункте 19 раздела II «ИНФОРМАЦИ</w:t>
      </w:r>
      <w:r>
        <w:rPr>
          <w:rFonts w:ascii="Times New Roman" w:hAnsi="Times New Roman" w:cs="Times New Roman"/>
          <w:b w:val="0"/>
        </w:rPr>
        <w:t xml:space="preserve">ОННАЯ КАРТА ЗАКУПКИ» или в форме независимой гарантии. Выбор способа обеспечения исполнения договора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7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Срок предоставления обеспечения исполнение договора устанавливается в пункте 18 раздела II «ИНФОРМАЦИОННАЯ КАРТА ЗАКУПКИ».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7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r/>
      <w:r/>
    </w:p>
    <w:p>
      <w:pPr>
        <w:pStyle w:val="806"/>
        <w:numPr>
          <w:ilvl w:val="1"/>
          <w:numId w:val="9"/>
        </w:numPr>
        <w:ind w:left="0" w:firstLine="567"/>
        <w:jc w:val="both"/>
        <w:spacing w:after="0"/>
        <w:tabs>
          <w:tab w:val="left" w:pos="1134" w:leader="none"/>
        </w:tabs>
        <w:rPr>
          <w:bCs w:val="0"/>
          <w:smallCaps/>
        </w:rPr>
      </w:pPr>
      <w:r/>
      <w:bookmarkStart w:id="94" w:name="_Требования_к_условиям"/>
      <w:r/>
      <w:bookmarkStart w:id="95" w:name="_Toc44"/>
      <w:r/>
      <w:bookmarkEnd w:id="94"/>
      <w:r>
        <w:rPr>
          <w:bCs w:val="0"/>
          <w:sz w:val="24"/>
          <w:szCs w:val="24"/>
        </w:rPr>
        <w:t xml:space="preserve">Требования к условиям независимой гарантии, выданной в качестве обеспечения исполнения договора</w:t>
      </w:r>
      <w:bookmarkEnd w:id="95"/>
      <w:r>
        <w:rPr>
          <w:bCs w:val="0"/>
          <w:smallCaps/>
        </w:rPr>
      </w:r>
      <w:r>
        <w:rPr>
          <w:bCs w:val="0"/>
          <w:smallCaps/>
        </w:rPr>
      </w:r>
    </w:p>
    <w:p>
      <w:pPr>
        <w:numPr>
          <w:ilvl w:val="2"/>
          <w:numId w:val="9"/>
        </w:numPr>
        <w:ind w:left="0" w:firstLine="567"/>
        <w:spacing w:after="0"/>
        <w:rPr>
          <w:b/>
          <w:bCs/>
          <w:color w:val="000000" w:themeColor="text1"/>
        </w:rPr>
        <w:outlineLvl w:val="2"/>
      </w:pPr>
      <w:r>
        <w:t xml:space="preserve">При выборе участником закупки способа обеспечения исполнения договора в форме независимой гарантии, участник должен предоставить независимую гарантию </w:t>
      </w:r>
      <w:r>
        <w:rPr>
          <w:u w:val="single"/>
        </w:rPr>
        <w:t xml:space="preserve">по форме, установленной частью III «</w:t>
      </w:r>
      <w:r>
        <w:rPr>
          <w:color w:val="000000" w:themeColor="text1"/>
          <w:u w:val="single"/>
        </w:rPr>
        <w:t xml:space="preserve">ОБРАЗЦЫ ФОРМ ДЛЯ ЗАПОЛНЕНИЯ УЧАСТНИКАМИ ЗАКУПКИ»</w:t>
      </w:r>
      <w:r>
        <w:rPr>
          <w:color w:val="000000" w:themeColor="text1"/>
        </w:rPr>
        <w:t xml:space="preserve">, составленную с учетом следующих условий:</w:t>
      </w:r>
      <w:r>
        <w:rPr>
          <w:b/>
          <w:bCs/>
          <w:color w:val="000000" w:themeColor="text1"/>
        </w:rPr>
      </w:r>
      <w:r>
        <w:rPr>
          <w:b/>
          <w:bCs/>
          <w:color w:val="000000" w:themeColor="text1"/>
        </w:rPr>
      </w:r>
    </w:p>
    <w:p>
      <w:pPr>
        <w:pStyle w:val="1126"/>
        <w:numPr>
          <w:ilvl w:val="0"/>
          <w:numId w:val="37"/>
        </w:numPr>
        <w:ind w:left="0" w:firstLine="567"/>
        <w:jc w:val="both"/>
      </w:pPr>
      <w:r>
        <w:t xml:space="preserve">независимая гарантия должна быть безотзывной;</w:t>
      </w:r>
      <w:r/>
    </w:p>
    <w:p>
      <w:pPr>
        <w:pStyle w:val="1126"/>
        <w:numPr>
          <w:ilvl w:val="0"/>
          <w:numId w:val="37"/>
        </w:numPr>
        <w:ind w:left="0" w:firstLine="567"/>
        <w:jc w:val="both"/>
      </w:pPr>
      <w:r>
        <w:t xml:space="preserve">срок действия независимой гарантии </w:t>
      </w:r>
      <w:r>
        <w:t xml:space="preserve">должен начинаться не позднее даты заключения договора и заканчиваться не ранее, чем через 60 календарных дней после планируемой даты исполнения контрагентом обязательств, обеспеченных независимой гарантией. В случае, когда срок исполнения обязательства по </w:t>
      </w:r>
      <w:r>
        <w:t xml:space="preserve">Договору превышает 1 год, допускается принятие независимой гарантии на часть указанного срока, в этом случае срок действия независимой гарантии не должен быть менее 1 года с даты вступления ее в силу, а договор с контрагентом должен содержать обязательство</w:t>
      </w:r>
      <w:r>
        <w:t xml:space="preserve"> контрагента по продлению либо замене независимой гарантии не позднее, чем за 60 дней до окончания срока ее действия. В случае заключения долгосрочного (на срок более 1 года) договора, предусматривающего ежегодное согласование объема товара/работ/услуг на </w:t>
      </w:r>
      <w:r>
        <w:t xml:space="preserve">последующие годы в дополнительном соглашении, допускается принятие обеспечения на сумму товаров/работ/услуг первого года, предусмотренных договором, с обязательством предоставления обеспечения при согласовании объема товаров/работ/услуг на последующий год.</w:t>
      </w:r>
      <w:r/>
    </w:p>
    <w:p>
      <w:pPr>
        <w:pStyle w:val="807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Независимая гарантия должна быть выдана в письменной форме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ind w:firstLine="567"/>
        <w:spacing w:after="0"/>
        <w:rPr>
          <w:bCs/>
        </w:rPr>
      </w:pPr>
      <w:r>
        <w:rPr>
          <w:bCs/>
        </w:rPr>
        <w:t xml:space="preserve">В случае выдачи независимой гарантии в письменной форме на бумажном носителе такая гарантия должна быть подписана лицом, имеющим право действовать от имени гаранта, а все листы такой гарантии должны быть прошиты и пронумерованы.</w:t>
      </w:r>
      <w:r>
        <w:rPr>
          <w:bCs/>
        </w:rPr>
      </w:r>
      <w:r>
        <w:rPr>
          <w:bCs/>
        </w:rPr>
      </w:r>
    </w:p>
    <w:p>
      <w:pPr>
        <w:pStyle w:val="807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Независимая гарантия должна быть выдана: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126"/>
        <w:numPr>
          <w:ilvl w:val="0"/>
          <w:numId w:val="38"/>
        </w:numPr>
        <w:ind w:left="0" w:firstLine="567"/>
        <w:jc w:val="both"/>
      </w:pPr>
      <w:r>
        <w:t xml:space="preserve">банками, соответствующими </w:t>
      </w:r>
      <w:hyperlink r:id="rId19" w:tooltip="https://internet.garant.ru/#/document/403293263/entry/1" w:anchor="/document/403293263/entry/1" w:history="1">
        <w:r>
          <w:t xml:space="preserve">требованиям</w:t>
        </w:r>
      </w:hyperlink>
      <w:r>
        <w:t xml:space="preserve">, установленным Правительством Российской Федерации, и включенными в перечень, предусмотренный </w:t>
      </w:r>
      <w:hyperlink r:id="rId20" w:tooltip="https://internet.garant.ru/#/document/70353464/entry/45012" w:anchor="/document/70353464/entry/45012" w:history="1">
        <w:r>
          <w:t xml:space="preserve">частью 1.2</w:t>
        </w:r>
      </w:hyperlink>
      <w:r>
        <w:t xml:space="preserve"> статьи 45 Федерального закона от 05.04.2013 №44-ФЗ «О контрактной системе в сфере закупок товаров, работ, услуг для обеспечения государственных и муниципальных нужд»;</w:t>
      </w:r>
      <w:r/>
    </w:p>
    <w:p>
      <w:pPr>
        <w:pStyle w:val="1126"/>
        <w:numPr>
          <w:ilvl w:val="0"/>
          <w:numId w:val="38"/>
        </w:numPr>
        <w:ind w:left="0" w:firstLine="567"/>
        <w:jc w:val="both"/>
      </w:pPr>
      <w:r>
        <w:t xml:space="preserve">государственной корпорацией развития "ВЭБ.РФ";</w:t>
      </w:r>
      <w:r/>
    </w:p>
    <w:p>
      <w:pPr>
        <w:pStyle w:val="1126"/>
        <w:numPr>
          <w:ilvl w:val="0"/>
          <w:numId w:val="38"/>
        </w:numPr>
        <w:ind w:left="0" w:firstLine="567"/>
        <w:jc w:val="both"/>
      </w:pPr>
      <w:r>
        <w:t xml:space="preserve">фондами содействия кредитованию (гарантийными фондами, фондами поручительств), являющимися участниками национальной гарантийной системы поддержки малого и среднего предпринимательства, предусмотренной </w:t>
      </w:r>
      <w:hyperlink r:id="rId21" w:tooltip="https://internet.garant.ru/#/document/12154854/entry/0" w:anchor="/document/12154854/entry/0" w:history="1">
        <w:r>
          <w:t xml:space="preserve">Федеральным законом</w:t>
        </w:r>
      </w:hyperlink>
      <w:r>
        <w:t xml:space="preserve"> от 24 июля 2007 года N 209-ФЗ "О развитии малого и среднего предпринимательства в Российской Федерации" (далее - региональные гарантийные организации), соответствующими </w:t>
      </w:r>
      <w:hyperlink r:id="rId22" w:tooltip="https://internet.garant.ru/#/document/403293263/entry/3" w:anchor="/document/403293263/entry/3" w:history="1">
        <w:r>
          <w:t xml:space="preserve">требованиям</w:t>
        </w:r>
      </w:hyperlink>
      <w:r>
        <w:t xml:space="preserve">, установленным Правительством Российской Федерации, и включенными в перечень, предусмотренный </w:t>
      </w:r>
      <w:hyperlink r:id="rId23" w:tooltip="https://internet.garant.ru/#/document/70353464/entry/45017" w:anchor="/document/70353464/entry/45017" w:history="1">
        <w:r>
          <w:t xml:space="preserve">частью 1.7</w:t>
        </w:r>
      </w:hyperlink>
      <w:r>
        <w:t xml:space="preserve"> статьи 4</w:t>
      </w:r>
      <w:r>
        <w:t xml:space="preserve">5 Федерального закона от 05.04.2013 №44-ФЗ «О контрактной системе в сфере закупок товаров, работ, услуг для обеспечения государственных и муниципальных нужд» (при осуществлении закупок с начальной (максимальной) ценой договора не более двадцати миллионов);</w:t>
      </w:r>
      <w:r/>
    </w:p>
    <w:p>
      <w:pPr>
        <w:pStyle w:val="1126"/>
        <w:numPr>
          <w:ilvl w:val="0"/>
          <w:numId w:val="38"/>
        </w:numPr>
        <w:ind w:left="0" w:firstLine="567"/>
        <w:jc w:val="both"/>
      </w:pPr>
      <w:r>
        <w:t xml:space="preserve">Евразийским банком развития (если участник закупки является юридическим лицом, зареги</w:t>
      </w:r>
      <w:r>
        <w:t xml:space="preserve">стрированным на территории государства - члена Евразийского экономического союза, за исключением Российской Федерации, или физическим лицом, являющимся гражданином государства - члена Евразийского экономического союза, за исключением Российской Федерации).</w:t>
      </w:r>
      <w:r/>
    </w:p>
    <w:p>
      <w:pPr>
        <w:pStyle w:val="807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Информация о независимой гарантии, предоставляемой в качестве обеспечения исполнения договора, заключаемого по результатам закупк</w:t>
      </w:r>
      <w:r>
        <w:rPr>
          <w:rFonts w:ascii="Times New Roman" w:hAnsi="Times New Roman" w:cs="Times New Roman"/>
          <w:b w:val="0"/>
        </w:rPr>
        <w:t xml:space="preserve">и, должна быть включена в реестр независимых гарантий, предусмотренный частью 8 статьи 45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нужд". 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6"/>
        <w:numPr>
          <w:ilvl w:val="1"/>
          <w:numId w:val="9"/>
        </w:numPr>
        <w:ind w:left="0" w:firstLine="567"/>
        <w:jc w:val="both"/>
        <w:spacing w:after="0"/>
        <w:tabs>
          <w:tab w:val="left" w:pos="1134" w:leader="none"/>
        </w:tabs>
        <w:rPr>
          <w:bCs w:val="0"/>
          <w:sz w:val="24"/>
          <w:szCs w:val="24"/>
        </w:rPr>
      </w:pPr>
      <w:r/>
      <w:bookmarkStart w:id="96" w:name="_Toc45"/>
      <w:r>
        <w:rPr>
          <w:bCs w:val="0"/>
          <w:sz w:val="24"/>
          <w:szCs w:val="24"/>
        </w:rPr>
        <w:t xml:space="preserve">Отказ от заключения договора</w:t>
      </w:r>
      <w:bookmarkEnd w:id="96"/>
      <w:r>
        <w:rPr>
          <w:bCs w:val="0"/>
          <w:sz w:val="24"/>
          <w:szCs w:val="24"/>
        </w:rPr>
      </w:r>
      <w:r>
        <w:rPr>
          <w:bCs w:val="0"/>
          <w:sz w:val="24"/>
          <w:szCs w:val="24"/>
        </w:rPr>
      </w:r>
    </w:p>
    <w:p>
      <w:pPr>
        <w:numPr>
          <w:ilvl w:val="2"/>
          <w:numId w:val="9"/>
        </w:numPr>
        <w:ind w:left="0" w:firstLine="567"/>
        <w:spacing w:after="0"/>
        <w:outlineLvl w:val="2"/>
      </w:pPr>
      <w:r>
        <w:t xml:space="preserve">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</w:t>
      </w:r>
      <w:r>
        <w:t xml:space="preserve"> договора, если Заказчик 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  <w:r/>
    </w:p>
    <w:p>
      <w:pPr>
        <w:numPr>
          <w:ilvl w:val="2"/>
          <w:numId w:val="9"/>
        </w:numPr>
        <w:ind w:left="0" w:firstLine="567"/>
        <w:spacing w:after="0"/>
        <w:outlineLvl w:val="2"/>
      </w:pPr>
      <w:r/>
      <w:bookmarkStart w:id="97" w:name="_Ref302129490"/>
      <w:r>
        <w:t xml:space="preserve"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97"/>
      <w:r/>
      <w:r/>
    </w:p>
    <w:p>
      <w:pPr>
        <w:pStyle w:val="1151"/>
        <w:numPr>
          <w:ilvl w:val="0"/>
          <w:numId w:val="13"/>
        </w:numPr>
        <w:ind w:left="0" w:firstLine="709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уклонения или отказа участника закупки от заключения договора, в том числе путем предложения Заказчику внести существен</w:t>
      </w:r>
      <w:r>
        <w:rPr>
          <w:sz w:val="24"/>
          <w:szCs w:val="24"/>
        </w:rPr>
        <w:t xml:space="preserve">ные изменения, ухудшающие для Заказчика условия договора, непредставления до заключения договора информации о полной цепочке своих собственников, включая конечных бенефициаров, согласия на обработку персональных данных с подтверждающими документами и т.п.;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2"/>
        <w:numPr>
          <w:ilvl w:val="0"/>
          <w:numId w:val="13"/>
        </w:numPr>
        <w:ind w:left="0" w:firstLine="567"/>
        <w:jc w:val="both"/>
        <w:tabs>
          <w:tab w:val="left" w:pos="1418" w:leader="none"/>
        </w:tabs>
        <w:rPr>
          <w:smallCaps/>
          <w:color w:val="auto"/>
        </w:rPr>
      </w:pPr>
      <w:r>
        <w:t xml:space="preserve">непредоставления или предоставление с нарушением условий, установленных действу</w:t>
      </w:r>
      <w:r>
        <w:t xml:space="preserve">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  <w:bookmarkEnd w:id="92"/>
      <w:r>
        <w:rPr>
          <w:smallCaps/>
          <w:color w:val="auto"/>
        </w:rPr>
      </w:r>
      <w:r>
        <w:rPr>
          <w:smallCaps/>
          <w:color w:val="auto"/>
        </w:rPr>
      </w:r>
    </w:p>
    <w:p>
      <w:pPr>
        <w:numPr>
          <w:ilvl w:val="2"/>
          <w:numId w:val="9"/>
        </w:numPr>
        <w:ind w:left="0" w:firstLine="567"/>
        <w:spacing w:after="0"/>
        <w:outlineLvl w:val="2"/>
      </w:pPr>
      <w:r>
        <w:t xml:space="preserve">В случае если победитель закупки будет признан уклонившимся от заключения договора, Заказчик на основании решения Закупочной комиссии вправе заключить договор с участником закупки, который предложил такие же, ка</w:t>
      </w:r>
      <w:r>
        <w:t xml:space="preserve">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 В этом случае такой участник закупки обязан заключить договор с Заказчиком,</w:t>
      </w:r>
      <w:r>
        <w:rPr>
          <w:rFonts w:asciiTheme="minorHAnsi" w:hAnsiTheme="minorHAnsi" w:eastAsiaTheme="minorHAnsi" w:cstheme="minorBidi"/>
          <w:sz w:val="22"/>
          <w:szCs w:val="22"/>
          <w:lang w:eastAsia="en-US"/>
        </w:rPr>
        <w:t xml:space="preserve"> </w:t>
      </w:r>
      <w:r>
        <w:t xml:space="preserve">при обращении к нему Заказчика с предложением заключить договор.</w:t>
      </w:r>
      <w:r/>
    </w:p>
    <w:p>
      <w:pPr>
        <w:numPr>
          <w:ilvl w:val="2"/>
          <w:numId w:val="9"/>
        </w:numPr>
        <w:ind w:left="0" w:firstLine="567"/>
        <w:spacing w:after="0"/>
        <w:outlineLvl w:val="2"/>
      </w:pPr>
      <w:r>
        <w:t xml:space="preserve">В случае уклонения или отказа участника от заключения договора (в том числе участника, сделавшего второе по приоритетности предложение, в случае заключения с ним договора в результате отказа участника, первоначально признанного победите</w:t>
      </w:r>
      <w:r>
        <w:t xml:space="preserve">лем) Заказчик направляет сведения о таком участнике в федеральный орган исполнительной власти, уполномоченным Правительством Российской Федерации, для включения в реестр недобросовестных поставщиков в порядке, предусмотренном действующим законодательством.</w:t>
      </w:r>
      <w:r/>
    </w:p>
    <w:p>
      <w:pPr>
        <w:pStyle w:val="806"/>
        <w:numPr>
          <w:ilvl w:val="1"/>
          <w:numId w:val="9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98" w:name="_Toc46"/>
      <w:r>
        <w:rPr>
          <w:sz w:val="24"/>
          <w:szCs w:val="24"/>
        </w:rPr>
        <w:t xml:space="preserve">Изменение и расторжение договора</w:t>
      </w:r>
      <w:bookmarkEnd w:id="9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исполняется в соотв</w:t>
      </w:r>
      <w:r>
        <w:rPr>
          <w:rFonts w:ascii="Times New Roman" w:hAnsi="Times New Roman" w:cs="Times New Roman"/>
          <w:b w:val="0"/>
          <w:bCs w:val="0"/>
        </w:rPr>
        <w:t xml:space="preserve">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исполн</w:t>
      </w:r>
      <w:r>
        <w:rPr>
          <w:rFonts w:ascii="Times New Roman" w:hAnsi="Times New Roman" w:cs="Times New Roman"/>
          <w:b w:val="0"/>
          <w:bCs w:val="0"/>
        </w:rPr>
        <w:t xml:space="preserve">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</w:t>
      </w:r>
      <w:r>
        <w:rPr>
          <w:rFonts w:ascii="Times New Roman" w:hAnsi="Times New Roman" w:cs="Times New Roman"/>
          <w:b w:val="0"/>
          <w:bCs w:val="0"/>
        </w:rPr>
        <w:t xml:space="preserve">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исп</w:t>
      </w:r>
      <w:r>
        <w:rPr>
          <w:rFonts w:ascii="Times New Roman" w:hAnsi="Times New Roman" w:cs="Times New Roman"/>
          <w:b w:val="0"/>
          <w:bCs w:val="0"/>
        </w:rPr>
        <w:t xml:space="preserve">олнении договоров на поставку товаров (выполнение работ, оказание услуг) поставщик (исполнитель, подрядчик), при условии исполнения обязательств по договору вправе переуступить право требования (факторинг) в пользу иного лица (финансового агента, фактора).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исполнении договора не допускается: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51"/>
        <w:numPr>
          <w:ilvl w:val="0"/>
          <w:numId w:val="39"/>
        </w:numPr>
        <w:ind w:left="0" w:firstLine="567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замена товара на происходящий из иностранного государства товар, в отношении которого был установлен запрет в соответствии с требованиями ПП № 1875;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51"/>
        <w:numPr>
          <w:ilvl w:val="0"/>
          <w:numId w:val="39"/>
        </w:numPr>
        <w:ind w:left="0" w:firstLine="567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замена товара на происходящий из иностранного государства товар, в отношении которого было установлено ограничение/преимущество в соответствии с требованиями ПП № 1875, если договор предусматривает поставку товара российского происхождения;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51"/>
        <w:numPr>
          <w:ilvl w:val="0"/>
          <w:numId w:val="39"/>
        </w:numPr>
        <w:ind w:left="0" w:firstLine="567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перемена подрядчика (исполнителя) (в случае, если</w:t>
      </w:r>
      <w:r>
        <w:rPr>
          <w:sz w:val="24"/>
          <w:szCs w:val="24"/>
        </w:rPr>
        <w:t xml:space="preserve">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был установлен  запрет в соответствии с требованиями ПП № 1875;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51"/>
        <w:numPr>
          <w:ilvl w:val="0"/>
          <w:numId w:val="39"/>
        </w:numPr>
        <w:ind w:left="0" w:firstLine="567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перемена подрядчика (исполнителя) (в случае, если эта перемена допускается гражданским законодате</w:t>
      </w:r>
      <w:r>
        <w:rPr>
          <w:sz w:val="24"/>
          <w:szCs w:val="24"/>
        </w:rPr>
        <w:t xml:space="preserve">льством), с которым заключен договор, на иностранное лицо, которое зарегистрировано на территории иностранного государства, в отношении которого было установлено ограничение в соответствии с требованиями ПП № 1875, если договор заключен с российским лицом.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Расторжение договора, в том числе односторонний отказ от договора допускается по основаниям и в порядке, предусмотренном действующим законодательством и договором.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6"/>
        <w:ind w:left="0" w:firstLine="567"/>
        <w:jc w:val="both"/>
        <w:keepNext w:val="0"/>
        <w:spacing w:after="0"/>
        <w:tabs>
          <w:tab w:val="clear" w:pos="576" w:leader="none"/>
        </w:tabs>
        <w:rPr>
          <w:b w:val="0"/>
        </w:rPr>
      </w:pPr>
      <w:r>
        <w:rPr>
          <w:b w:val="0"/>
        </w:rPr>
        <w:br w:type="page" w:clear="all"/>
      </w:r>
      <w:r>
        <w:rPr>
          <w:b w:val="0"/>
        </w:rPr>
      </w:r>
      <w:r>
        <w:rPr>
          <w:b w:val="0"/>
        </w:rPr>
      </w:r>
    </w:p>
    <w:p>
      <w:pPr>
        <w:pStyle w:val="805"/>
        <w:numPr>
          <w:ilvl w:val="0"/>
          <w:numId w:val="6"/>
        </w:numPr>
        <w:ind w:left="0" w:firstLine="567"/>
        <w:spacing w:before="0" w:after="0"/>
        <w:rPr>
          <w:rStyle w:val="1108"/>
          <w:b/>
          <w:bCs/>
          <w:sz w:val="24"/>
          <w:szCs w:val="24"/>
        </w:rPr>
      </w:pPr>
      <w:r/>
      <w:bookmarkStart w:id="99" w:name="_РАЗДЕЛ_I_3_ИНФОРМАЦИОННАЯ_КАРТА_КОН"/>
      <w:r/>
      <w:bookmarkStart w:id="100" w:name="_Ref119427269"/>
      <w:r/>
      <w:bookmarkStart w:id="101" w:name="_Toc47"/>
      <w:r/>
      <w:bookmarkEnd w:id="99"/>
      <w:r>
        <w:rPr>
          <w:rStyle w:val="1108"/>
          <w:b/>
          <w:bCs/>
          <w:sz w:val="24"/>
          <w:szCs w:val="24"/>
        </w:rPr>
        <w:t xml:space="preserve">ИНФОРМАЦИОННАЯ КАРТА </w:t>
      </w:r>
      <w:bookmarkEnd w:id="100"/>
      <w:r>
        <w:rPr>
          <w:rStyle w:val="1108"/>
          <w:b/>
          <w:bCs/>
          <w:sz w:val="24"/>
          <w:szCs w:val="24"/>
        </w:rPr>
        <w:t xml:space="preserve">ЗАКУПКИ</w:t>
      </w:r>
      <w:bookmarkEnd w:id="101"/>
      <w:r>
        <w:rPr>
          <w:rStyle w:val="1108"/>
          <w:b/>
          <w:bCs/>
          <w:sz w:val="24"/>
          <w:szCs w:val="24"/>
        </w:rPr>
      </w:r>
      <w:r>
        <w:rPr>
          <w:rStyle w:val="1108"/>
          <w:b/>
          <w:bCs/>
          <w:sz w:val="24"/>
          <w:szCs w:val="24"/>
        </w:rPr>
      </w:r>
    </w:p>
    <w:p>
      <w:r/>
      <w:r/>
    </w:p>
    <w:p>
      <w:pPr>
        <w:ind w:firstLine="567"/>
      </w:pPr>
      <w:r>
        <w:t xml:space="preserve">В части II «ИНФОРМАЦИОННАЯ КАРТА ЗАКУПКИ» содержится информация для данного конкретного конкурса, которая уточняет, разъясняет и дополняет положения части </w:t>
      </w:r>
      <w:r>
        <w:rPr>
          <w:lang w:val="en-US"/>
        </w:rPr>
        <w:t xml:space="preserve">I</w:t>
      </w:r>
      <w:r>
        <w:t xml:space="preserve"> «ОБЩИЕ УСЛОВИЯ ПРОВЕДЕНИЯ ЗАКУПКИ». </w:t>
      </w:r>
      <w:r/>
    </w:p>
    <w:p>
      <w:pPr>
        <w:ind w:firstLine="567"/>
      </w:pPr>
      <w:r>
        <w:t xml:space="preserve">При возникновении противоречия между положениями части </w:t>
      </w:r>
      <w:r>
        <w:rPr>
          <w:lang w:val="en-US"/>
        </w:rPr>
        <w:t xml:space="preserve">I</w:t>
      </w:r>
      <w:r>
        <w:t xml:space="preserve"> «ОБЩИЕ УСЛОВИЯ ПРОВЕДЕНИЯ ЗАКУПКИ» и части II «ИНФОРМАЦИОННАЯ КАРТА ЗАКУПКИ», применяются положения Части II.</w:t>
      </w:r>
      <w:r/>
    </w:p>
    <w:tbl>
      <w:tblPr>
        <w:tblpPr w:horzAnchor="text" w:tblpXSpec="center" w:vertAnchor="text" w:tblpY="1" w:leftFromText="180" w:topFromText="0" w:rightFromText="180" w:bottomFromText="0"/>
        <w:tblW w:w="10485" w:type="dxa"/>
        <w:jc w:val="center"/>
        <w:tblLayout w:type="fixed"/>
        <w:tblLook w:val="0000" w:firstRow="0" w:lastRow="0" w:firstColumn="0" w:lastColumn="0" w:noHBand="0" w:noVBand="0"/>
      </w:tblPr>
      <w:tblGrid>
        <w:gridCol w:w="704"/>
        <w:gridCol w:w="1560"/>
        <w:gridCol w:w="2664"/>
        <w:gridCol w:w="29"/>
        <w:gridCol w:w="5528"/>
      </w:tblGrid>
      <w:tr>
        <w:tblPrEx/>
        <w:trPr>
          <w:jc w:val="center"/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№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пункта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Ссылка на разделы, подразделы, пункты и подпункты части «</w:t>
            </w:r>
            <w:r>
              <w:fldChar w:fldCharType="begin"/>
            </w:r>
            <w:r>
              <w:instrText xml:space="preserve"> REF _Ref166642713 \h  \* MERGEFORMAT </w:instrText>
            </w:r>
            <w:r>
              <w:fldChar w:fldCharType="separate"/>
            </w:r>
            <w:r>
              <w:rPr>
                <w:sz w:val="20"/>
                <w:szCs w:val="20"/>
              </w:rPr>
              <w:t xml:space="preserve">ОБЩИЕ УСЛОВИЯ ПРОВЕДЕНИЯ</w:t>
            </w:r>
            <w:r>
              <w:fldChar w:fldCharType="end"/>
            </w:r>
            <w:r>
              <w:rPr>
                <w:b/>
                <w:bCs/>
                <w:sz w:val="20"/>
                <w:szCs w:val="20"/>
              </w:rPr>
              <w:t xml:space="preserve">»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Наименование 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28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Информация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/>
        <w:trPr>
          <w:jc w:val="center"/>
          <w:trHeight w:val="258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7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02" w:name="_Ref166267282"/>
            <w:r/>
            <w:bookmarkEnd w:id="102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1.2.1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rPr>
                <w:bCs/>
              </w:rPr>
              <w:t xml:space="preserve">Наименование, место нахождения, почтовый адрес, адрес электронной почты, номер контактного телефона Заказчика</w:t>
            </w:r>
            <w:r/>
          </w:p>
        </w:tc>
        <w:tc>
          <w:tcPr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r>
              <w:t xml:space="preserve">Наименование Заказчика: Акционерное общество «Россети Сибирь Тываэнерго» (АО «Россети Сибирь Тываэнерго»).</w:t>
            </w:r>
            <w:r/>
          </w:p>
          <w:p>
            <w:r>
              <w:t xml:space="preserve">Место нахождения и почтовый адрес Заказчика: </w:t>
            </w:r>
            <w:r/>
          </w:p>
          <w:p>
            <w:r>
              <w:t xml:space="preserve">667001, г. Кызыл, ул. Рабочая 4.</w:t>
            </w:r>
            <w:r/>
          </w:p>
          <w:p>
            <w:r>
              <w:t xml:space="preserve">E-mail:  info@tv.rosseti-sib.ru</w:t>
            </w:r>
            <w:r/>
          </w:p>
          <w:p>
            <w:r>
              <w:t xml:space="preserve">Тел.:  8 (394-22) 9-85-00</w:t>
            </w:r>
            <w:r/>
          </w:p>
          <w:p>
            <w:r/>
            <w:r/>
          </w:p>
          <w:p>
            <w:r>
              <w:t xml:space="preserve">Контактные лица Заказчика: </w:t>
            </w:r>
            <w:r/>
          </w:p>
          <w:p>
            <w:r>
              <w:t xml:space="preserve">Главный специалист сектора закупок</w:t>
            </w:r>
            <w:r/>
          </w:p>
          <w:p>
            <w:r>
              <w:t xml:space="preserve">Кузнецова Надежда Алексеевна</w:t>
            </w:r>
            <w:r/>
          </w:p>
          <w:p>
            <w:r>
              <w:t xml:space="preserve">E-mail: Kuznetsova_NA@tv.rosseti-sib.ru</w:t>
            </w:r>
            <w:r/>
          </w:p>
          <w:p>
            <w:r>
              <w:t xml:space="preserve">Тел.: (39422) 9-85-44</w:t>
            </w:r>
            <w:r/>
          </w:p>
          <w:p>
            <w:r/>
            <w:r/>
          </w:p>
          <w:p>
            <w:r>
              <w:t xml:space="preserve">Специалист 2 категории сектора закупок</w:t>
            </w:r>
            <w:r/>
          </w:p>
          <w:p>
            <w:r>
              <w:t xml:space="preserve">Золотухина Вера Александровна</w:t>
            </w:r>
            <w:r/>
          </w:p>
          <w:p>
            <w:r>
              <w:t xml:space="preserve">E-mail: Zolotuhina_VA@tv.rosseti-sib.ru</w:t>
            </w:r>
            <w:r/>
          </w:p>
          <w:p>
            <w:r>
              <w:t xml:space="preserve">Тел.: (39422) 9-84-43</w:t>
            </w:r>
            <w:r/>
          </w:p>
        </w:tc>
      </w:tr>
      <w:tr>
        <w:tblPrEx/>
        <w:trPr>
          <w:jc w:val="center"/>
          <w:trHeight w:val="211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7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1.2.3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rPr>
                <w:bCs/>
              </w:rPr>
              <w:suppressLineNumbers/>
            </w:pPr>
            <w:r>
              <w:rPr>
                <w:bCs/>
              </w:rPr>
              <w:t xml:space="preserve">Наименование, место нахождения, почтовый адрес, адрес электронной почты, номер контактного телефона Организатора закупки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>
              <w:rPr>
                <w:i/>
              </w:rPr>
              <w:t xml:space="preserve">в электронной форме, участниками которого могут быть только субъекты малого и среднего предпринимательства</w:t>
            </w:r>
            <w:r>
              <w:rPr>
                <w:i/>
              </w:rPr>
              <w:t xml:space="preserve">.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jc w:val="center"/>
          <w:trHeight w:val="106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7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03" w:name="_Ref166267388"/>
            <w:r/>
            <w:bookmarkStart w:id="104" w:name="_Ref166267499"/>
            <w:r/>
            <w:bookmarkStart w:id="105" w:name="_Ref166267456"/>
            <w:r/>
            <w:bookmarkStart w:id="106" w:name="_Ref354428801"/>
            <w:r/>
            <w:bookmarkEnd w:id="103"/>
            <w:r/>
            <w:bookmarkEnd w:id="104"/>
            <w:r/>
            <w:bookmarkEnd w:id="105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left="360" w:hanging="796"/>
              <w:jc w:val="left"/>
              <w:tabs>
                <w:tab w:val="left" w:pos="284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ind w:left="360" w:hanging="796"/>
              <w:jc w:val="left"/>
              <w:tabs>
                <w:tab w:val="left" w:pos="284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</w:r>
            <w:bookmarkEnd w:id="106"/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ind w:left="360" w:hanging="796"/>
              <w:jc w:val="left"/>
              <w:tabs>
                <w:tab w:val="left" w:pos="284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Предмет закупки</w:t>
            </w:r>
            <w:r/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jc w:val="left"/>
              <w:spacing w:after="0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Лот № 1 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sz w:val="24"/>
                <w:szCs w:val="24"/>
              </w:rPr>
            </w:pPr>
            <w:r>
              <w:t xml:space="preserve">Право </w:t>
            </w:r>
            <w:r>
              <w:t xml:space="preserve">на заключение договора поставки 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изоляторов подвесных стеклянных на напряжение от 10 кВ до 500 кВ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Описание предмета закупки в соответствии с частью 6.1 статьи 3 Закона 223-ФЗ установлено в </w:t>
            </w:r>
            <w:r>
              <w:rPr>
                <w:bCs/>
              </w:rPr>
              <w:t xml:space="preserve">части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7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07" w:name="_Ref166267457"/>
            <w:r/>
            <w:bookmarkStart w:id="108" w:name="_Ref354440659"/>
            <w:r/>
            <w:bookmarkEnd w:id="107"/>
            <w:r/>
            <w:bookmarkEnd w:id="108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Место, условия и сроки (периоды) поставки товара, выполнения работы, оказания услуги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Место поставки товара (выполнения работ/ оказания услуг):</w:t>
            </w:r>
            <w:r/>
          </w:p>
          <w:p>
            <w:pPr>
              <w:spacing w:after="0"/>
            </w:pPr>
            <w:r>
              <w:t xml:space="preserve">В соответствии с частью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закупке.</w:t>
            </w:r>
            <w:r/>
          </w:p>
          <w:p>
            <w:pPr>
              <w:spacing w:after="0"/>
            </w:pPr>
            <w:r/>
            <w:r/>
          </w:p>
          <w:p>
            <w:pPr>
              <w:spacing w:after="0"/>
            </w:pPr>
            <w:r>
              <w:t xml:space="preserve">Сроки поставки товара (выполнения работ/ оказания услуг): </w:t>
            </w:r>
            <w:r/>
          </w:p>
          <w:p>
            <w:pPr>
              <w:spacing w:after="0"/>
            </w:pPr>
            <w:r>
              <w:t xml:space="preserve">В соответствии с частью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закупке.</w:t>
            </w:r>
            <w:r/>
          </w:p>
          <w:p>
            <w:pPr>
              <w:spacing w:after="0"/>
            </w:pPr>
            <w:r/>
            <w:r/>
          </w:p>
          <w:p>
            <w:pPr>
              <w:spacing w:after="0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 настоящей документации о закупке.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7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09" w:name="_Ref166267727"/>
            <w:r/>
            <w:bookmarkStart w:id="110" w:name="_Ref354428953"/>
            <w:r/>
            <w:bookmarkEnd w:id="109"/>
            <w:r/>
            <w:bookmarkEnd w:id="110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1.3.1, 3.5.1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before="60"/>
              <w:tabs>
                <w:tab w:val="left" w:pos="708" w:leader="none"/>
              </w:tabs>
            </w:pPr>
            <w:r>
              <w:t xml:space="preserve">Начальная (максимальная) цена договора без учета НДС составляет </w:t>
            </w:r>
            <w:r/>
            <w:r>
              <w:t xml:space="preserve">3 152 887 (Три миллиона сто пятьдесят две тысячи восемьсот восемьдесят семь) рублей 16 копеек, кроме того НДС в размере 20 %.</w:t>
            </w:r>
            <w:r/>
          </w:p>
          <w:p>
            <w:pPr>
              <w:spacing w:before="60"/>
              <w:tabs>
                <w:tab w:val="left" w:pos="708" w:leader="none"/>
              </w:tabs>
            </w:pPr>
            <w:r>
              <w:t xml:space="preserve">Начальная (максимальная) цена договора с учетом НДС составляет 3 783 464 (Три миллиона семьсот восемьдесят три тысячи четыреста шестьдесят четыре) рубля 59 копеек</w:t>
            </w:r>
            <w:r/>
            <w:r/>
            <w:r>
              <w:t xml:space="preserve">.</w:t>
            </w:r>
            <w:r/>
            <w:r/>
          </w:p>
          <w:p>
            <w:pPr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spacing w:after="0"/>
              <w:rPr>
                <w:rFonts w:eastAsia="Calibri"/>
              </w:rPr>
            </w:pPr>
            <w:r>
              <w:rPr>
                <w:rFonts w:eastAsia="Calibri"/>
              </w:rPr>
              <w:t xml:space="preserve">Начальная (максимальная) цена договора включает в себя: все затраты, накладные расходы, налоги, пошлины, таможенные платежи, с</w:t>
            </w:r>
            <w:r>
              <w:rPr>
                <w:rFonts w:eastAsia="Calibri"/>
              </w:rPr>
              <w:t xml:space="preserve">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7"/>
              <w:ind w:left="0"/>
              <w:jc w:val="right"/>
              <w:spacing w:before="0" w:after="0"/>
              <w:tabs>
                <w:tab w:val="clear" w:pos="312" w:leader="none"/>
              </w:tabs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5.1.</w:t>
            </w:r>
            <w:r>
              <w:rPr>
                <w:rFonts w:ascii="Times New Roman" w:hAnsi="Times New Roman" w:cs="Times New Roman"/>
                <w:b w:val="0"/>
              </w:rPr>
            </w:r>
            <w:r>
              <w:rPr>
                <w:rFonts w:ascii="Times New Roman" w:hAnsi="Times New Roman" w:cs="Times New Roman"/>
                <w:b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1.3.2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spacing w:after="0"/>
              <w:widowControl w:val="off"/>
            </w:pPr>
            <w:r>
              <w:t xml:space="preserve">Обоснование начальной (максимальной) цены договора либо цены единицы товара, работы, услуги, включая информацию о расходах на перевозку, страхование, уплату таможенных пошлин, налогов и других обязательных платежей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keepLines/>
              <w:spacing w:after="0"/>
              <w:widowControl w:val="off"/>
              <w:tabs>
                <w:tab w:val="left" w:pos="708" w:leader="none"/>
              </w:tabs>
            </w:pPr>
            <w:r>
              <w:t xml:space="preserve">Обоснование начальной (максимальной) цены договора приведено в части </w:t>
            </w:r>
            <w:r>
              <w:rPr>
                <w:lang w:val="en-US"/>
              </w:rPr>
              <w:t xml:space="preserve">VI</w:t>
            </w:r>
            <w:r>
              <w:t xml:space="preserve"> «ОБОСНОВАНИЕ НАЧАЛЬНОЙ (МАКСИМАЛЬНОЙ) ЦЕНЫ ДОГОВОРА» настоящей документации.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7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Форма, сроки и порядок оплаты товара, работы, услуги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r>
              <w:t xml:space="preserve">Форма, сроки и порядок оплаты товара, работы, услуги установлены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7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5.1, 5.2, 5.3, 5.4, 6.2, 6.4, 6.5, 6.6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Применяемые этапы проведения закупки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pStyle w:val="1126"/>
              <w:numPr>
                <w:ilvl w:val="0"/>
                <w:numId w:val="27"/>
              </w:numPr>
            </w:pPr>
            <w:r>
              <w:t xml:space="preserve">Рассмотрение первых частей заявок.</w:t>
            </w:r>
            <w:r/>
          </w:p>
          <w:p>
            <w:pPr>
              <w:pStyle w:val="1126"/>
              <w:numPr>
                <w:ilvl w:val="0"/>
                <w:numId w:val="27"/>
              </w:numPr>
              <w:ind w:left="0" w:firstLine="34"/>
            </w:pPr>
            <w:r>
              <w:t xml:space="preserve">Рассмотрение вторых частей заявок.</w:t>
            </w:r>
            <w:r/>
          </w:p>
          <w:p>
            <w:pPr>
              <w:pStyle w:val="1126"/>
              <w:numPr>
                <w:ilvl w:val="0"/>
                <w:numId w:val="27"/>
              </w:numPr>
              <w:ind w:left="0" w:firstLine="34"/>
            </w:pPr>
            <w:r>
              <w:t xml:space="preserve">Сопоставление дополнительных ценовых предложений участников закупки о снижении цены договора.</w:t>
            </w:r>
            <w:r/>
          </w:p>
          <w:p>
            <w:pPr>
              <w:pStyle w:val="1126"/>
              <w:numPr>
                <w:ilvl w:val="0"/>
                <w:numId w:val="27"/>
              </w:numPr>
              <w:ind w:left="0" w:firstLine="34"/>
            </w:pPr>
            <w:r>
              <w:t xml:space="preserve">Подведение итогов.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7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4.1.1, 5.1.2, 5.2.2, 5.3.1, 5.4.3, 6.2, 6.4, 6.5, 6.6, 6.3.2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закупки).</w:t>
            </w:r>
            <w:r/>
          </w:p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Дата рассмотрения предложений участников такой закупки и подведения итогов такой закупки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57" w:type="dxa"/>
            <w:textDirection w:val="lrTb"/>
            <w:noWrap w:val="false"/>
          </w:tcPr>
          <w:p>
            <w:pPr>
              <w:pStyle w:val="1142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Заявка подается в электронной форме с использованием функционала и в соответствии с Регламентом работы ЭП.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42"/>
              <w:jc w:val="both"/>
              <w:rPr>
                <w:lang w:eastAsia="zh-CN"/>
              </w:rPr>
            </w:pPr>
            <w:r>
              <w:rPr>
                <w:lang w:eastAsia="zh-CN"/>
              </w:rPr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42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Дата начала срока подачи заявок: «14» ноября 2025 года;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42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Дата и время окончания срока, последний день срока подачи Заявок: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42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«24» ноября 2025 года 13:00 (время московское)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42"/>
              <w:jc w:val="both"/>
              <w:rPr>
                <w:lang w:eastAsia="zh-CN"/>
              </w:rPr>
            </w:pPr>
            <w:r>
              <w:rPr>
                <w:lang w:eastAsia="zh-CN"/>
              </w:rPr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42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Рассмотрение первых частей заявок: 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42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Дата начала проведения этапа: с момент направления оператором ЭП заказчику первый частей заявок;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42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Дата окончания проведения этапа: «04» декабря 2025 года.</w:t>
            </w:r>
            <w:r>
              <w:rPr>
                <w:i/>
                <w:lang w:eastAsia="zh-CN"/>
              </w:rPr>
              <w:t xml:space="preserve"> 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42"/>
              <w:jc w:val="both"/>
              <w:rPr>
                <w:lang w:eastAsia="zh-CN"/>
              </w:rPr>
            </w:pPr>
            <w:r>
              <w:rPr>
                <w:lang w:eastAsia="zh-CN"/>
              </w:rPr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42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Рассмотрение и оценка вторых частей заявок: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42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Дата окончания проведения этапа: «16» декабря 2025 года. 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42"/>
              <w:jc w:val="both"/>
              <w:rPr>
                <w:lang w:eastAsia="zh-CN"/>
              </w:rPr>
            </w:pPr>
            <w:r>
              <w:rPr>
                <w:lang w:eastAsia="zh-CN"/>
              </w:rPr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42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Подача дополнительных ценовых предложений участников закупки: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42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Дата начала проведения этапа: «17» декабря 2025 года.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42"/>
              <w:jc w:val="both"/>
              <w:rPr>
                <w:lang w:eastAsia="zh-CN"/>
              </w:rPr>
            </w:pPr>
            <w:r>
              <w:rPr>
                <w:lang w:eastAsia="zh-CN"/>
              </w:rPr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42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42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Продолжительность приема дополнительных ценовых предложений от участников закупки составляет три часа.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42"/>
              <w:jc w:val="both"/>
              <w:rPr>
                <w:lang w:eastAsia="zh-CN"/>
              </w:rPr>
            </w:pPr>
            <w:r>
              <w:rPr>
                <w:lang w:eastAsia="zh-CN"/>
              </w:rPr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42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Подведение итогов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42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Дата проведения этапа: «18» декабря 2025 года.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42"/>
              <w:jc w:val="both"/>
              <w:rPr>
                <w:lang w:eastAsia="zh-CN"/>
              </w:rPr>
            </w:pPr>
            <w:r>
              <w:rPr>
                <w:lang w:eastAsia="zh-CN"/>
              </w:rPr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42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42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7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Требования к участникам закупки</w:t>
            </w:r>
            <w:r/>
          </w:p>
          <w:p>
            <w:pPr>
              <w:keepLines/>
              <w:keepNext/>
              <w:spacing w:after="0"/>
              <w:widowControl w:val="off"/>
              <w:suppressLineNumbers/>
            </w:pPr>
            <w:r/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tabs>
                <w:tab w:val="left" w:pos="851" w:leader="none"/>
                <w:tab w:val="left" w:pos="1134" w:leader="none"/>
              </w:tabs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</w:t>
            </w:r>
            <w:r>
              <w:t xml:space="preserve">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 xml:space="preserve"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spacing w:after="0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проведении эксперимента п</w:t>
            </w:r>
            <w:r>
              <w:rPr>
                <w:bCs/>
              </w:rPr>
              <w:t xml:space="preserve">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spacing w:after="0"/>
            </w:pPr>
            <w:r/>
            <w:r/>
          </w:p>
          <w:p>
            <w:pPr>
              <w:spacing w:after="0"/>
            </w:pPr>
            <w:r>
              <w:t xml:space="preserve">Чтобы претендовать на победу в закупке и получение права заключить договор, участник закупки должен отвечать требованиям,  установленным в Приложении № 2 к части II «ИНФОРМАЦИОННАЯ КАРТА ЗАКУПКИ».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7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1.4.3, 3.4.1, 3.4.2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Информация и документы, входящие в состав заявки на участие в закупке для подтверждения соответствия требованиям, установленным в пункте 9 части </w:t>
            </w:r>
            <w:r>
              <w:rPr>
                <w:lang w:val="en-US"/>
              </w:rPr>
              <w:t xml:space="preserve">II</w:t>
            </w:r>
            <w:r>
              <w:t xml:space="preserve"> «ИНФОРМАЦИОННАЯ КАРТА ЗАКУПКИ»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pStyle w:val="1154"/>
              <w:jc w:val="both"/>
              <w:widowControl w:val="off"/>
              <w:rPr>
                <w:rFonts w:ascii="Times New Roman" w:hAnsi="Times New Roman" w:cs="Times New Roman"/>
                <w:b w:val="0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Информация и документы, входящие в состав заявки на участие в закупке установлены в Приложении № 2 к части II «ИНФОРМАЦИОННАЯ КАРТА ЗАКУПКИ».</w:t>
            </w:r>
            <w:r>
              <w:rPr>
                <w:rFonts w:ascii="Times New Roman" w:hAnsi="Times New Roman" w:cs="Times New Roman"/>
                <w:b w:val="0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color w:val="ff0000"/>
                <w:sz w:val="24"/>
                <w:szCs w:val="24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7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1.4.4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Требование об отсутствии сведений об участнике закупки в реестре недобросовестных поставщиков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pStyle w:val="1126"/>
              <w:ind w:left="0"/>
              <w:jc w:val="both"/>
            </w:pPr>
            <w:r>
              <w:t xml:space="preserve">Установлено:</w:t>
            </w:r>
            <w:r/>
          </w:p>
          <w:p>
            <w:pPr>
              <w:spacing w:after="0"/>
            </w:pPr>
            <w:r>
              <w:t xml:space="preserve">- отсутствие в реестре недобросовестных поставщиков (подрядчиков, исполнителей) информации об участнике закупки.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7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3.4.1, 3.4.2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11 части </w:t>
            </w:r>
            <w:r>
              <w:rPr>
                <w:lang w:val="en-US"/>
              </w:rPr>
              <w:t xml:space="preserve">II</w:t>
            </w:r>
            <w:r>
              <w:t xml:space="preserve"> «ИНФОРМАЦИОННАЯ КАРТА ЗАКУПКИ»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pStyle w:val="1126"/>
              <w:ind w:left="0"/>
              <w:jc w:val="both"/>
            </w:pPr>
            <w:r>
              <w:t xml:space="preserve">Не требуются</w:t>
            </w:r>
            <w:r/>
          </w:p>
          <w:p>
            <w:pPr>
              <w:pStyle w:val="1126"/>
              <w:ind w:left="0"/>
              <w:jc w:val="both"/>
            </w:pPr>
            <w:r>
              <w:t xml:space="preserve">Проверка соответствия установленному требованию осуществляется на основании открытых данных соответствующих реестров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7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1" w:name="_Ref166311076"/>
            <w:r/>
            <w:bookmarkEnd w:id="111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1.4.7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Требования к участникам закупки и прив</w:t>
            </w:r>
            <w:r>
              <w:t xml:space="preserve">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jc w:val="left"/>
              <w:spacing w:after="0"/>
            </w:pPr>
            <w:r>
              <w:t xml:space="preserve">Не установлены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7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2" w:name="_Ref166311380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3.4.1, 3.4.2</w:t>
            </w:r>
            <w:bookmarkEnd w:id="112"/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13 части </w:t>
            </w:r>
            <w:r>
              <w:rPr>
                <w:lang w:val="en-US"/>
              </w:rPr>
              <w:t xml:space="preserve">II</w:t>
            </w:r>
            <w:r>
              <w:t xml:space="preserve"> «ИНФОРМАЦИОННАЯ КАРТА ЗАКУПКИ»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</w:pPr>
            <w:r>
              <w:t xml:space="preserve">Не требуются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7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2.2.1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Дата и время окончания срока предоставления участникам закупки разъяснений положений документации о закупке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keepNext/>
              <w:spacing w:after="0"/>
            </w:pPr>
            <w:r>
              <w:t xml:space="preserve">В соответствии с п. 2.2.2. части I «ОБЩИЕ УСЛОВИЯ ПРОВЕДЕНИЯ ЗАКУПКИ» документации</w:t>
            </w:r>
            <w:r>
              <w:rPr>
                <w:color w:val="1f497d"/>
              </w:rPr>
              <w:t xml:space="preserve"> </w:t>
            </w:r>
            <w:r>
              <w:t xml:space="preserve">о закупке. 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7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3.6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pStyle w:val="1153"/>
              <w:numPr>
                <w:ilvl w:val="0"/>
                <w:numId w:val="0"/>
              </w:numPr>
              <w:widowControl w:val="off"/>
              <w:tabs>
                <w:tab w:val="left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заявок на участие в закупке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keepLines/>
              <w:spacing w:after="0"/>
              <w:widowControl w:val="off"/>
              <w:suppressLineNumbers/>
            </w:pPr>
            <w:r>
              <w:t xml:space="preserve"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  <w:r/>
          </w:p>
          <w:p>
            <w:pPr>
              <w:keepLines/>
              <w:spacing w:after="0"/>
              <w:widowControl w:val="off"/>
              <w:suppressLineNumbers/>
            </w:pPr>
            <w:r/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</w:pPr>
            <w:r>
              <w:t xml:space="preserve">Не установлено</w:t>
            </w:r>
            <w:r/>
          </w:p>
          <w:p>
            <w:pPr>
              <w:spacing w:after="0"/>
            </w:pPr>
            <w:r/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7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3.6.6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Счет Заказчика для перечисления денежных средств, внесенных в качестве обеспечения заявки, в случаях, установленных п. 3.6.5 документации о закупке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r>
              <w:t xml:space="preserve">Не требуется</w:t>
            </w:r>
            <w:r/>
          </w:p>
          <w:p>
            <w:pPr>
              <w:spacing w:after="0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after="0"/>
            </w:pPr>
            <w:r/>
            <w:r/>
          </w:p>
        </w:tc>
      </w:tr>
      <w:tr>
        <w:tblPrEx/>
        <w:trPr>
          <w:jc w:val="center"/>
          <w:trHeight w:val="198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7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3" w:name="_Ref166312503"/>
            <w:r/>
            <w:bookmarkStart w:id="114" w:name="_Ref166381471"/>
            <w:r/>
            <w:bookmarkEnd w:id="113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7.2, 7.3</w:t>
            </w:r>
            <w:bookmarkEnd w:id="114"/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pStyle w:val="1153"/>
              <w:numPr>
                <w:ilvl w:val="0"/>
                <w:numId w:val="0"/>
              </w:numPr>
              <w:widowControl w:val="off"/>
              <w:tabs>
                <w:tab w:val="left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исполнения договора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</w:pPr>
            <w:r>
              <w:t xml:space="preserve">Не установлено, за исключением случаев, указанных в п. 3.7 документации о закупке.</w:t>
            </w:r>
            <w:r/>
          </w:p>
          <w:p>
            <w:pPr>
              <w:spacing w:after="0"/>
            </w:pPr>
            <w:r>
              <w:t xml:space="preserve">Размер обеспечения – установлен п. 3.7 документации о закупке.</w:t>
            </w:r>
            <w:r/>
          </w:p>
          <w:p>
            <w:pPr>
              <w:spacing w:after="0"/>
            </w:pPr>
            <w:r>
              <w:rPr>
                <w:iCs/>
              </w:rPr>
              <w:t xml:space="preserve">Порядок предоставления обеспечения</w:t>
            </w:r>
            <w:r>
              <w:t xml:space="preserve"> установлен в части I «ОБЩИЕ УСЛОВИЯ ПРОВЕДЕНИЯ ЗАКУПКИ» и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ДОГОВОРА».</w:t>
            </w:r>
            <w:r/>
          </w:p>
          <w:p>
            <w:pPr>
              <w:spacing w:after="0"/>
            </w:pPr>
            <w:r>
              <w:t xml:space="preserve">Основное обязательство, исполнение которого обеспечивается – исполнение договора.</w:t>
            </w:r>
            <w:r/>
          </w:p>
          <w:p>
            <w:pPr>
              <w:spacing w:after="0"/>
            </w:pPr>
            <w:r>
              <w:t xml:space="preserve">Срок исполнения – установлен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ДОГОВОРА».</w:t>
            </w:r>
            <w:r/>
          </w:p>
          <w:p>
            <w:pPr>
              <w:spacing w:after="0"/>
            </w:pPr>
            <w:r>
              <w:t xml:space="preserve">Срок предоставления обеспечения - не позднее 10 рабочих дней с даты размещения в единой информационной системе итогового протокола.</w:t>
            </w:r>
            <w:r/>
          </w:p>
          <w:p>
            <w:pPr>
              <w:spacing w:after="0"/>
            </w:pPr>
            <w:r/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7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5" w:name="_Ref166313061"/>
            <w:r/>
            <w:bookmarkStart w:id="116" w:name="_Ref354440864"/>
            <w:r/>
            <w:bookmarkEnd w:id="115"/>
            <w:r/>
            <w:bookmarkEnd w:id="116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7.2.2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r>
              <w:t xml:space="preserve">Реквизиты счета для внесения обеспечения исполнения договора (в случае если участник закупки выбрал обеспечение исполнения договора в виде внесения денежных средств)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</w:pPr>
            <w:r>
              <w:t xml:space="preserve">Реквизиты счета:</w:t>
            </w:r>
            <w:r/>
          </w:p>
          <w:p>
            <w:pPr>
              <w:spacing w:after="0"/>
              <w:widowControl w:val="off"/>
            </w:pPr>
            <w:r>
              <w:t xml:space="preserve">Получатель: АО «Россети Сибирь Тываэнерго»</w:t>
            </w:r>
            <w:r/>
          </w:p>
          <w:p>
            <w:pPr>
              <w:spacing w:after="0"/>
              <w:widowControl w:val="off"/>
            </w:pPr>
            <w:r>
              <w:t xml:space="preserve">667001, Республика Тыва, г.Кызыл, ул. Рабочая, 4 (394-22) 9-85-00</w:t>
            </w:r>
            <w:r/>
          </w:p>
          <w:p>
            <w:pPr>
              <w:spacing w:after="0"/>
              <w:widowControl w:val="off"/>
            </w:pPr>
            <w:r>
              <w:t xml:space="preserve">ИНН 1701029232  </w:t>
            </w:r>
            <w:r/>
          </w:p>
          <w:p>
            <w:pPr>
              <w:spacing w:after="0"/>
              <w:widowControl w:val="off"/>
            </w:pPr>
            <w:r>
              <w:t xml:space="preserve">КПП 170101001</w:t>
            </w:r>
            <w:r/>
          </w:p>
          <w:p>
            <w:pPr>
              <w:spacing w:after="0"/>
              <w:widowControl w:val="off"/>
            </w:pPr>
            <w:r>
              <w:t xml:space="preserve">ОГРН 1021700509566     </w:t>
            </w:r>
            <w:r/>
          </w:p>
          <w:p>
            <w:pPr>
              <w:spacing w:after="0"/>
              <w:widowControl w:val="off"/>
            </w:pPr>
            <w:r>
              <w:t xml:space="preserve">ОКПО 40871124 </w:t>
            </w:r>
            <w:r/>
          </w:p>
          <w:p>
            <w:pPr>
              <w:spacing w:after="0"/>
              <w:widowControl w:val="off"/>
            </w:pPr>
            <w:r>
              <w:t xml:space="preserve">ОКВЭД 35.12 </w:t>
            </w:r>
            <w:r/>
          </w:p>
          <w:p>
            <w:pPr>
              <w:spacing w:after="0"/>
              <w:widowControl w:val="off"/>
            </w:pPr>
            <w:r>
              <w:t xml:space="preserve">ОКАТО 93401000000 </w:t>
            </w:r>
            <w:r/>
          </w:p>
          <w:p>
            <w:pPr>
              <w:spacing w:after="0"/>
              <w:widowControl w:val="off"/>
            </w:pPr>
            <w:r>
              <w:t xml:space="preserve">ОКФС 16 ОКОПФ 12267 </w:t>
            </w:r>
            <w:r/>
          </w:p>
          <w:p>
            <w:pPr>
              <w:spacing w:after="0"/>
              <w:widowControl w:val="off"/>
            </w:pPr>
            <w:r>
              <w:t xml:space="preserve">КРАСНОЯРСКОЕ ОТДЕЛЕНИЕ N 8646 ПАО СБЕРБАНК</w:t>
            </w:r>
            <w:r/>
          </w:p>
          <w:p>
            <w:pPr>
              <w:spacing w:after="0"/>
              <w:widowControl w:val="off"/>
            </w:pPr>
            <w:r>
              <w:t xml:space="preserve">БИК 040407627</w:t>
            </w:r>
            <w:r/>
          </w:p>
          <w:p>
            <w:pPr>
              <w:spacing w:after="0"/>
              <w:widowControl w:val="off"/>
            </w:pPr>
            <w:r>
              <w:t xml:space="preserve">к/с 30101810800000000627</w:t>
            </w:r>
            <w:r/>
          </w:p>
          <w:p>
            <w:pPr>
              <w:spacing w:after="0"/>
              <w:widowControl w:val="off"/>
            </w:pPr>
            <w:r>
              <w:t xml:space="preserve">р/сч 40702810865000001852</w:t>
            </w:r>
            <w:r/>
          </w:p>
        </w:tc>
      </w:tr>
      <w:tr>
        <w:tblPrEx/>
        <w:trPr>
          <w:jc w:val="center"/>
          <w:trHeight w:val="301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7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7" w:name="_Ref166313235"/>
            <w:r/>
            <w:bookmarkStart w:id="118" w:name="_Ref354428632"/>
            <w:r/>
            <w:bookmarkEnd w:id="117"/>
            <w:r/>
            <w:bookmarkEnd w:id="118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tabs>
                <w:tab w:val="num" w:pos="312" w:leader="none"/>
              </w:tabs>
              <w:outlineLvl w:val="2"/>
              <w:suppressLineNumbers/>
            </w:pPr>
            <w:r>
              <w:t xml:space="preserve">6.3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spacing w:after="0"/>
              <w:widowControl w:val="off"/>
              <w:suppressLineNumbers/>
            </w:pPr>
            <w:r>
              <w:t xml:space="preserve">Критерии и порядок оценки и сопоставления заявок на участие в закупке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</w:pPr>
            <w:r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приложении № 1 к части II «ИНФОРМАЦИОННАЯ КАРТА ЗАКУПКИ».</w:t>
            </w:r>
            <w:r/>
          </w:p>
        </w:tc>
      </w:tr>
      <w:tr>
        <w:tblPrEx/>
        <w:trPr>
          <w:jc w:val="center"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4" w:type="dxa"/>
            <w:vMerge w:val="restart"/>
            <w:textDirection w:val="lrTb"/>
            <w:noWrap w:val="false"/>
          </w:tcPr>
          <w:p>
            <w:pPr>
              <w:pStyle w:val="807"/>
              <w:numPr>
                <w:ilvl w:val="0"/>
                <w:numId w:val="8"/>
              </w:numPr>
              <w:ind w:hanging="796"/>
              <w:jc w:val="left"/>
              <w:spacing w:before="0" w:after="0"/>
              <w:shd w:val="clear" w:color="ffffff" w:themeColor="background1" w:fill="ffffff" w:themeFill="background1"/>
              <w:tabs>
                <w:tab w:val="left" w:pos="284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Merge w:val="restart"/>
            <w:textDirection w:val="lrTb"/>
            <w:noWrap w:val="false"/>
          </w:tcPr>
          <w:p>
            <w:pPr>
              <w:jc w:val="left"/>
              <w:keepLines/>
              <w:spacing w:after="0"/>
              <w:shd w:val="clear" w:color="ffffff" w:themeColor="background1" w:fill="ffffff" w:themeFill="background1"/>
              <w:widowControl w:val="off"/>
              <w:suppressLineNumbers/>
            </w:pPr>
            <w:r>
              <w:t xml:space="preserve">7.1.1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4" w:type="dxa"/>
            <w:vMerge w:val="restart"/>
            <w:textDirection w:val="lrTb"/>
            <w:noWrap w:val="false"/>
          </w:tcPr>
          <w:p>
            <w:pPr>
              <w:keepLines/>
              <w:keepNext/>
              <w:spacing w:after="0"/>
              <w:shd w:val="clear" w:color="ffffff" w:themeColor="background1" w:fill="ffffff" w:themeFill="background1"/>
              <w:widowControl w:val="off"/>
              <w:rPr>
                <w:highlight w:val="yellow"/>
              </w:rPr>
              <w:suppressLineNumbers/>
            </w:pPr>
            <w:r>
              <w:t xml:space="preserve">Информация о заключении с участником нескольких договоров</w:t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57" w:type="dxa"/>
            <w:vMerge w:val="restart"/>
            <w:textDirection w:val="lrTb"/>
            <w:noWrap w:val="false"/>
          </w:tcPr>
          <w:p>
            <w:pPr>
              <w:keepLines/>
              <w:keepNext/>
              <w:spacing w:after="0"/>
              <w:shd w:val="clear" w:color="ffffff" w:themeColor="background1" w:fill="ffffff" w:themeFill="background1"/>
              <w:widowControl w:val="off"/>
              <w:rPr>
                <w:i/>
              </w:rPr>
              <w:suppressLineNumbers/>
            </w:pPr>
            <w:r>
              <w:t xml:space="preserve">Не предусмотрено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7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9" w:name="_Ref166315600"/>
            <w:r/>
            <w:bookmarkStart w:id="120" w:name="_Ref354134594"/>
            <w:r/>
            <w:bookmarkEnd w:id="119"/>
            <w:r/>
            <w:bookmarkEnd w:id="120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spacing w:after="0"/>
              <w:widowControl w:val="off"/>
              <w:suppressLineNumbers/>
            </w:pPr>
            <w:r>
              <w:t xml:space="preserve">7.1.2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Право заказчика заключить договор с несколькими участниками закупки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rPr>
                <w:i/>
              </w:rPr>
              <w:suppressLineNumbers/>
            </w:pPr>
            <w:r>
              <w:t xml:space="preserve">Не предусмотрено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pStyle w:val="1126"/>
              <w:ind w:left="0"/>
              <w:jc w:val="both"/>
            </w:pPr>
            <w:r/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7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spacing w:after="0"/>
              <w:widowControl w:val="off"/>
              <w:suppressLineNumbers/>
            </w:pPr>
            <w:r>
              <w:t xml:space="preserve">7.5.5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spacing w:after="0"/>
              <w:widowControl w:val="off"/>
              <w:suppressLineNumbers/>
            </w:pPr>
            <w:r>
              <w:t xml:space="preserve">Сведения о возможности одностороннего отказа от исполнения обязательств, предусмотренных договором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  <w:rPr>
                <w:i/>
              </w:rPr>
            </w:pPr>
            <w:r>
              <w:t xml:space="preserve">Односторонний отказ от исполнения договора возможен в порядке, установленном в проекте договора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7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spacing w:after="0"/>
              <w:widowControl w:val="off"/>
              <w:suppressLineNumbers/>
            </w:pPr>
            <w:r>
              <w:t xml:space="preserve">1.7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pStyle w:val="1142"/>
              <w:jc w:val="both"/>
              <w:rPr>
                <w:b/>
                <w:bCs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t xml:space="preserve">Информация о запрете или об ограничении закупок товаров (в том числе поставляемых при выполнении закупаемых работ, оказании закупаемых услуг), проис</w:t>
            </w:r>
            <w:r>
              <w:t xml:space="preserve">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pStyle w:val="1142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</w:t>
            </w:r>
            <w:r>
              <w:t xml:space="preserve">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 xml:space="preserve">Закона 223-ФЗ</w:t>
            </w:r>
            <w:r>
              <w:t xml:space="preserve"> и ПП № 1875 в порядке, установленном документацией о закупке.</w:t>
            </w:r>
            <w:r/>
          </w:p>
        </w:tc>
      </w:tr>
    </w:tbl>
    <w:p>
      <w:pPr>
        <w:ind w:firstLine="567"/>
        <w:jc w:val="right"/>
        <w:spacing w:after="0"/>
        <w:rPr>
          <w:b/>
          <w:bCs/>
        </w:rPr>
      </w:pPr>
      <w:r>
        <w:rPr>
          <w:b/>
          <w:bCs/>
        </w:rPr>
        <w:br w:type="page" w:clear="all"/>
      </w:r>
      <w:r>
        <w:rPr>
          <w:b/>
          <w:bCs/>
        </w:rPr>
      </w:r>
      <w:r>
        <w:rPr>
          <w:b/>
          <w:bCs/>
        </w:rPr>
      </w:r>
    </w:p>
    <w:p>
      <w:pPr>
        <w:pStyle w:val="807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 1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right"/>
        <w:rPr>
          <w:b/>
        </w:rPr>
      </w:pPr>
      <w:r>
        <w:rPr>
          <w:b/>
        </w:rPr>
        <w:t xml:space="preserve">к части II «ИНФОРМАЦИОННАЯ КАРТА ЗАКУПКИ» </w:t>
      </w:r>
      <w:r>
        <w:rPr>
          <w:b/>
        </w:rPr>
      </w:r>
      <w:r>
        <w:rPr>
          <w:b/>
        </w:rPr>
      </w:r>
    </w:p>
    <w:p>
      <w:pPr>
        <w:numPr>
          <w:ilvl w:val="0"/>
          <w:numId w:val="40"/>
        </w:numPr>
        <w:contextualSpacing/>
        <w:ind w:left="0" w:firstLine="0"/>
        <w:jc w:val="left"/>
        <w:keepLines/>
        <w:spacing w:before="120" w:after="120"/>
      </w:pPr>
      <w:r>
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</w:t>
      </w:r>
      <w:r/>
    </w:p>
    <w:tbl>
      <w:tblPr>
        <w:tblW w:w="9773" w:type="dxa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6308"/>
        <w:gridCol w:w="2695"/>
      </w:tblGrid>
      <w:tr>
        <w:tblPrEx/>
        <w:trPr/>
        <w:tc>
          <w:tcPr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71" w:type="dxa"/>
            <w:textDirection w:val="lrTb"/>
            <w:noWrap w:val="false"/>
          </w:tcPr>
          <w:p>
            <w:pPr>
              <w:jc w:val="center"/>
              <w:spacing w:after="0" w:line="256" w:lineRule="auto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N п/п</w:t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308" w:type="dxa"/>
            <w:textDirection w:val="lrTb"/>
            <w:noWrap w:val="false"/>
          </w:tcPr>
          <w:p>
            <w:pPr>
              <w:jc w:val="center"/>
              <w:spacing w:after="0" w:line="256" w:lineRule="auto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Критерии (подкритерии) оценки заявки</w:t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695" w:type="dxa"/>
            <w:textDirection w:val="lrTb"/>
            <w:noWrap w:val="false"/>
          </w:tcPr>
          <w:p>
            <w:pPr>
              <w:jc w:val="center"/>
              <w:spacing w:after="0" w:line="256" w:lineRule="auto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Весовое значение критерия</w:t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71" w:type="dxa"/>
            <w:textDirection w:val="lrTb"/>
            <w:noWrap w:val="false"/>
          </w:tcPr>
          <w:p>
            <w:pPr>
              <w:numPr>
                <w:ilvl w:val="0"/>
                <w:numId w:val="41"/>
              </w:numPr>
              <w:contextualSpacing/>
              <w:ind w:left="142" w:right="221" w:firstLine="0"/>
              <w:jc w:val="center"/>
              <w:spacing w:after="0" w:line="25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308" w:type="dxa"/>
            <w:textDirection w:val="lrTb"/>
            <w:noWrap w:val="false"/>
          </w:tcPr>
          <w:p>
            <w:pPr>
              <w:jc w:val="left"/>
              <w:spacing w:after="0" w:line="256" w:lineRule="auto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Ценовой критерий (рейтинг по критерию стоимости заявки)</w:t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</w:p>
          <w:p>
            <w:pPr>
              <w:jc w:val="left"/>
              <w:spacing w:after="0" w:line="256" w:lineRule="auto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val="en-US" w:eastAsia="en-US"/>
              </w:rPr>
              <w:t xml:space="preserve">R</w:t>
            </w:r>
            <w:r>
              <w:rPr>
                <w:rFonts w:eastAsia="Calibri"/>
                <w:b/>
                <w:bCs/>
                <w:i/>
                <w:iCs/>
                <w:sz w:val="20"/>
                <w:szCs w:val="20"/>
                <w:vertAlign w:val="subscript"/>
                <w:lang w:val="en-US" w:eastAsia="en-US"/>
              </w:rPr>
              <w:t xml:space="preserve">si</w:t>
            </w:r>
            <w:r>
              <w:rPr>
                <w:rFonts w:eastAsia="Calibri"/>
                <w:b/>
                <w:bCs/>
                <w:sz w:val="20"/>
                <w:szCs w:val="20"/>
                <w:vertAlign w:val="subscript"/>
                <w:lang w:eastAsia="en-US"/>
              </w:rPr>
              <w:t xml:space="preserve">,</w:t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695" w:type="dxa"/>
            <w:textDirection w:val="lrTb"/>
            <w:noWrap w:val="false"/>
          </w:tcPr>
          <w:p>
            <w:pPr>
              <w:jc w:val="center"/>
              <w:spacing w:after="0" w:line="256" w:lineRule="auto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0,7</w:t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71" w:type="dxa"/>
            <w:textDirection w:val="lrTb"/>
            <w:noWrap w:val="false"/>
          </w:tcPr>
          <w:p>
            <w:pPr>
              <w:numPr>
                <w:ilvl w:val="0"/>
                <w:numId w:val="41"/>
              </w:numPr>
              <w:contextualSpacing/>
              <w:ind w:left="142" w:right="221" w:firstLine="0"/>
              <w:jc w:val="center"/>
              <w:spacing w:after="0" w:line="25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308" w:type="dxa"/>
            <w:textDirection w:val="lrTb"/>
            <w:noWrap w:val="false"/>
          </w:tcPr>
          <w:p>
            <w:pPr>
              <w:jc w:val="left"/>
              <w:spacing w:after="0" w:line="256" w:lineRule="auto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Наличие заключения аттестационной комиссии ПАО «Россети», подтверждающего возможность применения Товара на объектах группы компаний «Россети» R</w:t>
            </w:r>
            <w:r>
              <w:rPr>
                <w:rFonts w:eastAsia="Calibri"/>
                <w:b/>
                <w:vertAlign w:val="subscript"/>
                <w:lang w:val="en-US" w:eastAsia="en-US"/>
              </w:rPr>
              <w:t xml:space="preserve">ai</w:t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695" w:type="dxa"/>
            <w:textDirection w:val="lrTb"/>
            <w:noWrap w:val="false"/>
          </w:tcPr>
          <w:p>
            <w:pPr>
              <w:jc w:val="center"/>
              <w:spacing w:after="0" w:line="256" w:lineRule="auto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0,3</w:t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</w:p>
        </w:tc>
      </w:tr>
    </w:tbl>
    <w:p>
      <w:pPr>
        <w:jc w:val="left"/>
        <w:spacing w:after="0"/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  <w:r>
        <w:rPr>
          <w:rFonts w:eastAsia="Calibri"/>
        </w:rPr>
      </w:r>
    </w:p>
    <w:p>
      <w:pPr>
        <w:numPr>
          <w:ilvl w:val="0"/>
          <w:numId w:val="40"/>
        </w:numPr>
        <w:contextualSpacing/>
        <w:ind w:left="0" w:firstLine="0"/>
        <w:jc w:val="left"/>
        <w:keepLines/>
        <w:spacing w:before="120" w:after="120"/>
        <w:rPr>
          <w:rFonts w:eastAsia="Calibri"/>
          <w:lang w:eastAsia="en-US"/>
        </w:rPr>
      </w:pPr>
      <w:r>
        <w:t xml:space="preserve">Полученные</w:t>
      </w:r>
      <w:r>
        <w:rPr>
          <w:rFonts w:eastAsia="Calibri"/>
          <w:lang w:eastAsia="en-US"/>
        </w:rPr>
        <w:t xml:space="preserve"> расчетные значения оцен</w:t>
      </w:r>
      <w:r>
        <w:rPr>
          <w:rFonts w:eastAsia="Calibri"/>
          <w:lang w:eastAsia="en-US"/>
        </w:rPr>
        <w:t xml:space="preserve">ки по каждому критерию (ценовому и неценовым),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contextualSpacing/>
        <w:ind w:left="567"/>
        <w:spacing w:after="120"/>
        <w:shd w:val="clear" w:color="auto" w:fill="ffffff"/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jc w:val="center"/>
        <w:rPr>
          <w:rFonts w:eastAsia="Calibri"/>
          <w:lang w:eastAsia="en-US"/>
        </w:rPr>
      </w:pP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vertAlign w:val="subscript"/>
          <w:lang w:val="en-US" w:eastAsia="en-US"/>
        </w:rPr>
        <w:t xml:space="preserve">i</w:t>
      </w:r>
      <w:r>
        <w:rPr>
          <w:rFonts w:eastAsia="Calibri"/>
          <w:lang w:eastAsia="en-US"/>
        </w:rPr>
        <w:t xml:space="preserve">= (</w:t>
      </w: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i/>
          <w:iCs/>
          <w:vertAlign w:val="subscript"/>
          <w:lang w:val="en-US" w:eastAsia="en-US"/>
        </w:rPr>
        <w:t xml:space="preserve">si</w:t>
      </w:r>
      <w:r>
        <w:rPr>
          <w:rFonts w:eastAsia="Calibri"/>
          <w:lang w:val="en-US" w:eastAsia="en-US"/>
        </w:rPr>
        <w:t xml:space="preserve">xV</w:t>
      </w:r>
      <w:r>
        <w:rPr>
          <w:rFonts w:eastAsia="Calibri"/>
          <w:vertAlign w:val="subscript"/>
          <w:lang w:val="en-US" w:eastAsia="en-US"/>
        </w:rPr>
        <w:t xml:space="preserve">s</w:t>
      </w:r>
      <w:r>
        <w:rPr>
          <w:rFonts w:eastAsia="Calibri"/>
          <w:lang w:eastAsia="en-US"/>
        </w:rPr>
        <w:t xml:space="preserve">) + </w:t>
      </w: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vertAlign w:val="subscript"/>
          <w:lang w:val="en-US" w:eastAsia="en-US"/>
        </w:rPr>
        <w:t xml:space="preserve">ai</w:t>
      </w:r>
      <w:r>
        <w:rPr>
          <w:rFonts w:eastAsia="Calibri"/>
          <w:lang w:val="en-US" w:eastAsia="en-US"/>
        </w:rPr>
        <w:t xml:space="preserve">xV</w:t>
      </w:r>
      <w:r>
        <w:rPr>
          <w:rFonts w:eastAsia="Calibri"/>
          <w:vertAlign w:val="subscript"/>
          <w:lang w:val="en-US" w:eastAsia="en-US"/>
        </w:rPr>
        <w:t xml:space="preserve">ai</w:t>
      </w:r>
      <w:r>
        <w:rPr>
          <w:rFonts w:eastAsia="Calibri"/>
          <w:lang w:eastAsia="en-US"/>
        </w:rPr>
        <w:t xml:space="preserve">)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rPr>
          <w:rFonts w:eastAsia="Calibri"/>
          <w:i/>
          <w:iCs/>
          <w:szCs w:val="22"/>
          <w:lang w:eastAsia="en-US"/>
        </w:rPr>
      </w:pPr>
      <w:r>
        <w:rPr>
          <w:rFonts w:eastAsia="Calibri"/>
          <w:i/>
          <w:iCs/>
          <w:szCs w:val="22"/>
          <w:lang w:eastAsia="en-US"/>
        </w:rPr>
        <w:t xml:space="preserve">где:</w:t>
      </w:r>
      <w:r>
        <w:rPr>
          <w:rFonts w:eastAsia="Calibri"/>
          <w:i/>
          <w:iCs/>
          <w:szCs w:val="22"/>
          <w:lang w:eastAsia="en-US"/>
        </w:rPr>
      </w:r>
      <w:r>
        <w:rPr>
          <w:rFonts w:eastAsia="Calibri"/>
          <w:i/>
          <w:iCs/>
          <w:szCs w:val="22"/>
          <w:lang w:eastAsia="en-US"/>
        </w:rPr>
      </w:r>
    </w:p>
    <w:p>
      <w:pPr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Ri - общий рейтинг предпочтительности i-й заявки;</w:t>
      </w:r>
      <w:r>
        <w:rPr>
          <w:rFonts w:eastAsia="Calibri"/>
          <w:sz w:val="20"/>
          <w:szCs w:val="20"/>
          <w:lang w:eastAsia="en-US"/>
        </w:rPr>
      </w:r>
      <w:r>
        <w:rPr>
          <w:rFonts w:eastAsia="Calibri"/>
          <w:sz w:val="20"/>
          <w:szCs w:val="20"/>
          <w:lang w:eastAsia="en-US"/>
        </w:rPr>
      </w:r>
    </w:p>
    <w:p>
      <w:pPr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val="en-US" w:eastAsia="en-US"/>
        </w:rPr>
        <w:t xml:space="preserve">R</w:t>
      </w:r>
      <w:r>
        <w:rPr>
          <w:rFonts w:eastAsia="Calibri"/>
          <w:i/>
          <w:iCs/>
          <w:sz w:val="20"/>
          <w:szCs w:val="20"/>
          <w:vertAlign w:val="subscript"/>
          <w:lang w:val="en-US" w:eastAsia="en-US"/>
        </w:rPr>
        <w:t xml:space="preserve">si</w:t>
      </w:r>
      <w:r>
        <w:rPr>
          <w:rFonts w:eastAsia="Calibri"/>
          <w:sz w:val="20"/>
          <w:szCs w:val="20"/>
          <w:lang w:val="en-US" w:eastAsia="en-US"/>
        </w:rPr>
        <w:t xml:space="preserve"> </w:t>
      </w:r>
      <w:r>
        <w:rPr>
          <w:rFonts w:eastAsia="Calibri"/>
          <w:sz w:val="20"/>
          <w:szCs w:val="20"/>
          <w:lang w:eastAsia="en-US"/>
        </w:rPr>
        <w:t xml:space="preserve">- оценка в баллах по ценовому критерию (по критерию стоимости заявки);</w:t>
      </w:r>
      <w:r>
        <w:rPr>
          <w:rFonts w:eastAsia="Calibri"/>
          <w:sz w:val="20"/>
          <w:szCs w:val="20"/>
          <w:lang w:eastAsia="en-US"/>
        </w:rPr>
      </w:r>
      <w:r>
        <w:rPr>
          <w:rFonts w:eastAsia="Calibri"/>
          <w:sz w:val="20"/>
          <w:szCs w:val="20"/>
          <w:lang w:eastAsia="en-US"/>
        </w:rPr>
      </w:r>
    </w:p>
    <w:p>
      <w:pPr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R</w:t>
      </w:r>
      <w:r>
        <w:rPr>
          <w:rFonts w:eastAsia="Calibri"/>
          <w:vertAlign w:val="subscript"/>
          <w:lang w:val="en-US" w:eastAsia="en-US"/>
        </w:rPr>
        <w:t xml:space="preserve">a</w:t>
      </w:r>
      <w:r>
        <w:rPr>
          <w:rFonts w:eastAsia="Calibri"/>
          <w:vertAlign w:val="subscript"/>
          <w:lang w:eastAsia="en-US"/>
        </w:rPr>
        <w:t xml:space="preserve">i</w:t>
      </w:r>
      <w:r>
        <w:rPr>
          <w:rFonts w:eastAsia="Calibri"/>
          <w:sz w:val="20"/>
          <w:szCs w:val="20"/>
          <w:lang w:eastAsia="en-US"/>
        </w:rPr>
        <w:t xml:space="preserve"> - оценка в баллах по критерию «Наличие заключения аттестационной комиссии ПАО «Россети», подтверждающего возможность применения Товара на объектах группы компаний «Россети»»;</w:t>
      </w:r>
      <w:r>
        <w:rPr>
          <w:rFonts w:eastAsia="Calibri"/>
          <w:sz w:val="20"/>
          <w:szCs w:val="20"/>
          <w:lang w:eastAsia="en-US"/>
        </w:rPr>
      </w:r>
      <w:r>
        <w:rPr>
          <w:rFonts w:eastAsia="Calibri"/>
          <w:sz w:val="20"/>
          <w:szCs w:val="20"/>
          <w:lang w:eastAsia="en-US"/>
        </w:rPr>
      </w:r>
    </w:p>
    <w:p>
      <w:pPr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val="en-US" w:eastAsia="en-US"/>
        </w:rPr>
        <w:t xml:space="preserve">V</w:t>
      </w:r>
      <w:r>
        <w:rPr>
          <w:rFonts w:eastAsia="Calibri"/>
          <w:sz w:val="20"/>
          <w:szCs w:val="20"/>
          <w:vertAlign w:val="subscript"/>
          <w:lang w:val="en-US" w:eastAsia="en-US"/>
        </w:rPr>
        <w:t xml:space="preserve">s</w:t>
      </w:r>
      <w:r>
        <w:rPr>
          <w:rFonts w:eastAsia="Calibri"/>
          <w:sz w:val="20"/>
          <w:szCs w:val="20"/>
          <w:lang w:eastAsia="en-US"/>
        </w:rPr>
        <w:t xml:space="preserve">, </w:t>
      </w:r>
      <w:r>
        <w:rPr>
          <w:rFonts w:eastAsia="Calibri"/>
          <w:sz w:val="20"/>
          <w:szCs w:val="20"/>
          <w:lang w:val="en-US" w:eastAsia="en-US"/>
        </w:rPr>
        <w:t xml:space="preserve">V</w:t>
      </w:r>
      <w:r>
        <w:rPr>
          <w:rFonts w:eastAsia="Calibri"/>
          <w:sz w:val="20"/>
          <w:szCs w:val="20"/>
          <w:vertAlign w:val="subscript"/>
          <w:lang w:val="en-US" w:eastAsia="en-US"/>
        </w:rPr>
        <w:t xml:space="preserve">ai</w:t>
      </w:r>
      <w:r>
        <w:rPr>
          <w:rFonts w:eastAsia="Calibri"/>
          <w:sz w:val="20"/>
          <w:szCs w:val="20"/>
          <w:vertAlign w:val="subscript"/>
          <w:lang w:eastAsia="en-US"/>
        </w:rPr>
        <w:t xml:space="preserve">,</w:t>
      </w:r>
      <w:r>
        <w:rPr>
          <w:rFonts w:eastAsia="Calibri"/>
          <w:sz w:val="20"/>
          <w:szCs w:val="20"/>
          <w:lang w:eastAsia="en-US"/>
        </w:rPr>
        <w:t xml:space="preserve"> – весовые коэффициенты соответствующих критериев.</w:t>
      </w:r>
      <w:r>
        <w:rPr>
          <w:rFonts w:eastAsia="Calibri"/>
          <w:sz w:val="20"/>
          <w:szCs w:val="20"/>
          <w:lang w:eastAsia="en-US"/>
        </w:rPr>
      </w:r>
      <w:r>
        <w:rPr>
          <w:rFonts w:eastAsia="Calibri"/>
          <w:sz w:val="20"/>
          <w:szCs w:val="20"/>
          <w:lang w:eastAsia="en-US"/>
        </w:rPr>
      </w:r>
    </w:p>
    <w:p>
      <w:pPr>
        <w:numPr>
          <w:ilvl w:val="1"/>
          <w:numId w:val="40"/>
        </w:numPr>
        <w:ind w:left="0" w:firstLine="0"/>
        <w:jc w:val="left"/>
        <w:spacing w:after="0"/>
        <w:widowControl w:val="off"/>
        <w:rPr>
          <w:rFonts w:eastAsia="Calibri"/>
          <w:sz w:val="28"/>
          <w:lang w:eastAsia="en-US"/>
        </w:rPr>
      </w:pPr>
      <w:r>
        <w:t xml:space="preserve">При</w:t>
      </w:r>
      <w:r>
        <w:rPr>
          <w:rFonts w:eastAsia="Calibri"/>
          <w:szCs w:val="22"/>
          <w:lang w:eastAsia="en-US"/>
        </w:rPr>
        <w:t xml:space="preserve"> осуществлении расчета значения по каждому критерию Заказчик вправе осуществлять расчет с точностью до трех знаков после запятой. Полученное значение итогового рейтинга используется для ранжирования заявок по степени предпочтительности. </w:t>
      </w:r>
      <w:r>
        <w:rPr>
          <w:rFonts w:eastAsia="Calibri"/>
          <w:sz w:val="28"/>
          <w:lang w:eastAsia="en-US"/>
        </w:rPr>
      </w:r>
      <w:r>
        <w:rPr>
          <w:rFonts w:eastAsia="Calibri"/>
          <w:sz w:val="28"/>
          <w:lang w:eastAsia="en-US"/>
        </w:rPr>
      </w:r>
    </w:p>
    <w:p>
      <w:pPr>
        <w:numPr>
          <w:ilvl w:val="1"/>
          <w:numId w:val="40"/>
        </w:numPr>
        <w:ind w:left="0" w:firstLine="0"/>
        <w:jc w:val="left"/>
        <w:spacing w:after="0"/>
        <w:widowControl w:val="off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 xml:space="preserve">В случае участия в закупке коллективных участников данные по неценовым критериям оценки в целях осуществления оценки такой заявки суммируются.</w:t>
      </w:r>
      <w:r>
        <w:rPr>
          <w:rFonts w:eastAsia="Calibri"/>
          <w:szCs w:val="22"/>
          <w:lang w:eastAsia="en-US"/>
        </w:rPr>
      </w:r>
      <w:r>
        <w:rPr>
          <w:rFonts w:eastAsia="Calibri"/>
          <w:szCs w:val="22"/>
          <w:lang w:eastAsia="en-US"/>
        </w:rPr>
      </w:r>
    </w:p>
    <w:p>
      <w:pPr>
        <w:ind w:left="567"/>
        <w:spacing w:after="0"/>
        <w:widowControl w:val="off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</w:r>
      <w:r>
        <w:rPr>
          <w:rFonts w:eastAsia="Calibri"/>
          <w:szCs w:val="22"/>
          <w:lang w:eastAsia="en-US"/>
        </w:rPr>
      </w:r>
      <w:r>
        <w:rPr>
          <w:rFonts w:eastAsia="Calibri"/>
          <w:szCs w:val="22"/>
          <w:lang w:eastAsia="en-US"/>
        </w:rPr>
      </w:r>
    </w:p>
    <w:p>
      <w:pPr>
        <w:numPr>
          <w:ilvl w:val="0"/>
          <w:numId w:val="40"/>
        </w:numPr>
        <w:contextualSpacing/>
        <w:ind w:left="0" w:firstLine="0"/>
        <w:jc w:val="left"/>
        <w:keepLines/>
        <w:spacing w:before="120" w:after="120"/>
        <w:rPr>
          <w:rFonts w:eastAsia="Calibri"/>
          <w:bCs/>
          <w:szCs w:val="22"/>
          <w:lang w:eastAsia="en-US"/>
        </w:rPr>
      </w:pPr>
      <w:r>
        <w:rPr>
          <w:rFonts w:eastAsia="Calibri"/>
          <w:bCs/>
          <w:szCs w:val="22"/>
          <w:lang w:eastAsia="en-US"/>
        </w:rPr>
        <w:t xml:space="preserve">Расчет рейтинга (оценка) по критерию стоимости заявки (</w:t>
      </w:r>
      <w:r>
        <w:rPr>
          <w:rFonts w:eastAsia="Calibri"/>
          <w:bCs/>
          <w:szCs w:val="22"/>
          <w:lang w:val="en-US" w:eastAsia="en-US"/>
        </w:rPr>
        <w:t xml:space="preserve">R</w:t>
      </w:r>
      <w:r>
        <w:rPr>
          <w:rFonts w:eastAsia="Calibri"/>
          <w:bCs/>
          <w:i/>
          <w:iCs/>
          <w:szCs w:val="22"/>
          <w:vertAlign w:val="subscript"/>
          <w:lang w:val="en-US" w:eastAsia="en-US"/>
        </w:rPr>
        <w:t xml:space="preserve">si</w:t>
      </w:r>
      <w:r>
        <w:rPr>
          <w:rFonts w:eastAsia="Calibri"/>
          <w:bCs/>
          <w:szCs w:val="22"/>
          <w:lang w:eastAsia="en-US"/>
        </w:rPr>
        <w:t xml:space="preserve">)</w:t>
      </w:r>
      <w:r>
        <w:rPr>
          <w:rFonts w:eastAsia="Calibri"/>
          <w:bCs/>
          <w:szCs w:val="22"/>
          <w:lang w:eastAsia="en-US"/>
        </w:rPr>
      </w:r>
      <w:r>
        <w:rPr>
          <w:rFonts w:eastAsia="Calibri"/>
          <w:bCs/>
          <w:szCs w:val="22"/>
          <w:lang w:eastAsia="en-US"/>
        </w:rPr>
      </w:r>
    </w:p>
    <w:p>
      <w:pPr>
        <w:ind w:firstLine="567"/>
        <w:spacing w:after="0"/>
        <w:rPr>
          <w:rFonts w:eastAsia="Calibri"/>
          <w:color w:val="000000"/>
          <w:szCs w:val="22"/>
          <w:lang w:eastAsia="en-US"/>
        </w:rPr>
      </w:pPr>
      <w:r>
        <w:rPr>
          <w:rFonts w:eastAsia="Calibri"/>
          <w:color w:val="000000"/>
          <w:szCs w:val="22"/>
          <w:lang w:eastAsia="en-US"/>
        </w:rPr>
        <w:t xml:space="preserve">Оценка (рейтинг) рассчитывается как значение, равное разнице в процентах (тендерное снижение) между ценой заявки участника и объявленной начальной (максимальной) ценой договора:</w:t>
      </w:r>
      <w:r>
        <w:rPr>
          <w:rFonts w:eastAsia="Calibri"/>
          <w:color w:val="000000"/>
          <w:szCs w:val="22"/>
          <w:lang w:eastAsia="en-US"/>
        </w:rPr>
      </w:r>
      <w:r>
        <w:rPr>
          <w:rFonts w:eastAsia="Calibri"/>
          <w:color w:val="000000"/>
          <w:szCs w:val="22"/>
          <w:lang w:eastAsia="en-US"/>
        </w:rPr>
      </w:r>
    </w:p>
    <w:p>
      <w:pPr>
        <w:jc w:val="left"/>
        <w:spacing w:after="0"/>
        <w:rPr>
          <w:rFonts w:eastAsia="Calibri"/>
          <w:color w:val="000000"/>
          <w:szCs w:val="22"/>
          <w:lang w:eastAsia="en-US"/>
        </w:rPr>
      </w:pPr>
      <w:r>
        <w:rPr>
          <w:rFonts w:eastAsia="Calibri"/>
          <w:color w:val="000000"/>
          <w:szCs w:val="22"/>
          <w:lang w:eastAsia="en-US"/>
        </w:rPr>
      </w:r>
      <w:r>
        <w:rPr>
          <w:rFonts w:eastAsia="Calibri"/>
          <w:color w:val="000000"/>
          <w:szCs w:val="22"/>
          <w:lang w:eastAsia="en-US"/>
        </w:rPr>
      </w:r>
      <w:r>
        <w:rPr>
          <w:rFonts w:eastAsia="Calibri"/>
          <w:color w:val="000000"/>
          <w:szCs w:val="22"/>
          <w:lang w:eastAsia="en-US"/>
        </w:rPr>
      </w:r>
    </w:p>
    <w:p>
      <w:pPr>
        <w:jc w:val="center"/>
        <w:spacing w:after="0"/>
        <w:rPr>
          <w:rFonts w:eastAsia="Calibri"/>
          <w:color w:val="000000"/>
          <w:szCs w:val="22"/>
          <w:lang w:val="en-US" w:eastAsia="en-US"/>
        </w:rPr>
      </w:pPr>
      <w:r>
        <w:rPr>
          <w:rFonts w:eastAsia="Calibri"/>
          <w:color w:val="000000"/>
          <w:szCs w:val="22"/>
          <w:lang w:val="en-US" w:eastAsia="en-US"/>
        </w:rPr>
        <w:t xml:space="preserve">Smax - Si</w:t>
      </w:r>
      <w:r>
        <w:rPr>
          <w:rFonts w:eastAsia="Calibri"/>
          <w:color w:val="000000"/>
          <w:szCs w:val="22"/>
          <w:lang w:val="en-US" w:eastAsia="en-US"/>
        </w:rPr>
      </w:r>
      <w:r>
        <w:rPr>
          <w:rFonts w:eastAsia="Calibri"/>
          <w:color w:val="000000"/>
          <w:szCs w:val="22"/>
          <w:lang w:val="en-US" w:eastAsia="en-US"/>
        </w:rPr>
      </w:r>
    </w:p>
    <w:p>
      <w:pPr>
        <w:jc w:val="center"/>
        <w:spacing w:after="0"/>
        <w:rPr>
          <w:rFonts w:eastAsia="Calibri"/>
          <w:color w:val="000000"/>
          <w:szCs w:val="22"/>
          <w:lang w:val="en-US" w:eastAsia="en-US"/>
        </w:rPr>
      </w:pPr>
      <w:r>
        <w:rPr>
          <w:rFonts w:eastAsia="Calibri"/>
          <w:color w:val="000000"/>
          <w:szCs w:val="22"/>
          <w:lang w:val="en-US" w:eastAsia="en-US"/>
        </w:rPr>
        <w:t xml:space="preserve">Rsi = ------------- x 100,</w:t>
      </w:r>
      <w:r>
        <w:rPr>
          <w:rFonts w:eastAsia="Calibri"/>
          <w:color w:val="000000"/>
          <w:szCs w:val="22"/>
          <w:lang w:val="en-US" w:eastAsia="en-US"/>
        </w:rPr>
      </w:r>
      <w:r>
        <w:rPr>
          <w:rFonts w:eastAsia="Calibri"/>
          <w:color w:val="000000"/>
          <w:szCs w:val="22"/>
          <w:lang w:val="en-US" w:eastAsia="en-US"/>
        </w:rPr>
      </w:r>
    </w:p>
    <w:p>
      <w:pPr>
        <w:jc w:val="center"/>
        <w:spacing w:after="0"/>
        <w:rPr>
          <w:rFonts w:eastAsia="Calibri"/>
          <w:color w:val="000000"/>
          <w:szCs w:val="22"/>
          <w:lang w:val="en-US" w:eastAsia="en-US"/>
        </w:rPr>
      </w:pPr>
      <w:r>
        <w:rPr>
          <w:rFonts w:eastAsia="Calibri"/>
          <w:color w:val="000000"/>
          <w:szCs w:val="22"/>
          <w:lang w:val="en-US" w:eastAsia="en-US"/>
        </w:rPr>
        <w:t xml:space="preserve">Smax</w:t>
      </w:r>
      <w:r>
        <w:rPr>
          <w:rFonts w:eastAsia="Calibri"/>
          <w:color w:val="000000"/>
          <w:szCs w:val="22"/>
          <w:lang w:val="en-US" w:eastAsia="en-US"/>
        </w:rPr>
      </w:r>
      <w:r>
        <w:rPr>
          <w:rFonts w:eastAsia="Calibri"/>
          <w:color w:val="000000"/>
          <w:szCs w:val="22"/>
          <w:lang w:val="en-US" w:eastAsia="en-US"/>
        </w:rPr>
      </w:r>
    </w:p>
    <w:p>
      <w:pPr>
        <w:jc w:val="left"/>
        <w:spacing w:after="0"/>
        <w:rPr>
          <w:rFonts w:eastAsia="Calibri"/>
          <w:color w:val="000000"/>
          <w:szCs w:val="22"/>
          <w:lang w:val="en-US" w:eastAsia="en-US"/>
        </w:rPr>
      </w:pPr>
      <w:r>
        <w:rPr>
          <w:rFonts w:eastAsia="Calibri"/>
          <w:color w:val="000000"/>
          <w:szCs w:val="22"/>
          <w:lang w:val="en-US" w:eastAsia="en-US"/>
        </w:rPr>
      </w:r>
      <w:r>
        <w:rPr>
          <w:rFonts w:eastAsia="Calibri"/>
          <w:color w:val="000000"/>
          <w:szCs w:val="22"/>
          <w:lang w:val="en-US" w:eastAsia="en-US"/>
        </w:rPr>
      </w:r>
      <w:r>
        <w:rPr>
          <w:rFonts w:eastAsia="Calibri"/>
          <w:color w:val="000000"/>
          <w:szCs w:val="22"/>
          <w:lang w:val="en-US" w:eastAsia="en-US"/>
        </w:rPr>
      </w:r>
    </w:p>
    <w:p>
      <w:pPr>
        <w:ind w:firstLine="851"/>
        <w:jc w:val="left"/>
        <w:rPr>
          <w:rFonts w:eastAsia="Calibri"/>
          <w:i/>
          <w:lang w:val="en-US" w:eastAsia="en-US"/>
        </w:rPr>
      </w:pPr>
      <w:r>
        <w:rPr>
          <w:rFonts w:eastAsia="Calibri"/>
          <w:i/>
          <w:lang w:eastAsia="en-US"/>
        </w:rPr>
        <w:t xml:space="preserve">где</w:t>
      </w:r>
      <w:r>
        <w:rPr>
          <w:rFonts w:eastAsia="Calibri"/>
          <w:i/>
          <w:lang w:val="en-US" w:eastAsia="en-US"/>
        </w:rPr>
        <w:t xml:space="preserve">: </w:t>
      </w:r>
      <w:r>
        <w:rPr>
          <w:rFonts w:eastAsia="Calibri"/>
          <w:i/>
          <w:lang w:val="en-US" w:eastAsia="en-US"/>
        </w:rPr>
      </w:r>
      <w:r>
        <w:rPr>
          <w:rFonts w:eastAsia="Calibri"/>
          <w:i/>
          <w:lang w:val="en-US" w:eastAsia="en-US"/>
        </w:rPr>
      </w:r>
    </w:p>
    <w:p>
      <w:pPr>
        <w:ind w:firstLine="851"/>
        <w:spacing w:after="0"/>
        <w:rPr>
          <w:color w:val="000000"/>
          <w:sz w:val="20"/>
          <w:szCs w:val="20"/>
          <w:lang w:eastAsia="en-US"/>
        </w:rPr>
      </w:pPr>
      <w:r>
        <w:rPr>
          <w:color w:val="000000"/>
          <w:sz w:val="20"/>
          <w:szCs w:val="20"/>
          <w:lang w:eastAsia="en-US"/>
        </w:rPr>
        <w:t xml:space="preserve">R</w:t>
      </w:r>
      <w:r>
        <w:rPr>
          <w:color w:val="000000"/>
          <w:sz w:val="20"/>
          <w:szCs w:val="20"/>
          <w:vertAlign w:val="subscript"/>
          <w:lang w:eastAsia="en-US"/>
        </w:rPr>
        <w:t xml:space="preserve">si</w:t>
      </w:r>
      <w:r>
        <w:rPr>
          <w:color w:val="000000"/>
          <w:sz w:val="20"/>
          <w:szCs w:val="20"/>
          <w:lang w:eastAsia="en-US"/>
        </w:rPr>
        <w:t xml:space="preserve"> - оценка (рейтинг) i-й заявки по критерию стоимости; </w:t>
      </w:r>
      <w:r>
        <w:rPr>
          <w:color w:val="000000"/>
          <w:sz w:val="20"/>
          <w:szCs w:val="20"/>
          <w:lang w:eastAsia="en-US"/>
        </w:rPr>
      </w:r>
      <w:r>
        <w:rPr>
          <w:color w:val="000000"/>
          <w:sz w:val="20"/>
          <w:szCs w:val="20"/>
          <w:lang w:eastAsia="en-US"/>
        </w:rPr>
      </w:r>
    </w:p>
    <w:p>
      <w:pPr>
        <w:ind w:firstLine="851"/>
        <w:spacing w:after="0"/>
        <w:rPr>
          <w:color w:val="000000"/>
          <w:sz w:val="20"/>
          <w:szCs w:val="20"/>
          <w:lang w:eastAsia="en-US"/>
        </w:rPr>
      </w:pPr>
      <w:r>
        <w:rPr>
          <w:color w:val="000000"/>
          <w:sz w:val="20"/>
          <w:szCs w:val="20"/>
          <w:lang w:eastAsia="en-US"/>
        </w:rPr>
        <w:t xml:space="preserve">S</w:t>
      </w:r>
      <w:r>
        <w:rPr>
          <w:color w:val="000000"/>
          <w:sz w:val="20"/>
          <w:szCs w:val="20"/>
          <w:vertAlign w:val="subscript"/>
          <w:lang w:eastAsia="en-US"/>
        </w:rPr>
        <w:t xml:space="preserve">max</w:t>
      </w:r>
      <w:r>
        <w:rPr>
          <w:color w:val="000000"/>
          <w:sz w:val="20"/>
          <w:szCs w:val="20"/>
          <w:lang w:eastAsia="en-US"/>
        </w:rPr>
        <w:t xml:space="preserve"> - объявленная начальная (максимальная) цена договора; </w:t>
      </w:r>
      <w:r>
        <w:rPr>
          <w:color w:val="000000"/>
          <w:sz w:val="20"/>
          <w:szCs w:val="20"/>
          <w:lang w:eastAsia="en-US"/>
        </w:rPr>
      </w:r>
      <w:r>
        <w:rPr>
          <w:color w:val="000000"/>
          <w:sz w:val="20"/>
          <w:szCs w:val="20"/>
          <w:lang w:eastAsia="en-US"/>
        </w:rPr>
      </w:r>
    </w:p>
    <w:p>
      <w:pPr>
        <w:ind w:firstLine="851"/>
        <w:spacing w:after="0"/>
        <w:rPr>
          <w:color w:val="000000"/>
          <w:sz w:val="20"/>
          <w:szCs w:val="20"/>
          <w:lang w:eastAsia="en-US"/>
        </w:rPr>
      </w:pPr>
      <w:r>
        <w:rPr>
          <w:color w:val="000000"/>
          <w:sz w:val="20"/>
          <w:szCs w:val="20"/>
          <w:lang w:eastAsia="en-US"/>
        </w:rPr>
        <w:t xml:space="preserve">S</w:t>
      </w:r>
      <w:r>
        <w:rPr>
          <w:color w:val="000000"/>
          <w:sz w:val="20"/>
          <w:szCs w:val="20"/>
          <w:vertAlign w:val="subscript"/>
          <w:lang w:eastAsia="en-US"/>
        </w:rPr>
        <w:t xml:space="preserve">i</w:t>
      </w:r>
      <w:r>
        <w:rPr>
          <w:color w:val="000000"/>
          <w:sz w:val="20"/>
          <w:szCs w:val="20"/>
          <w:lang w:eastAsia="en-US"/>
        </w:rPr>
        <w:t xml:space="preserve"> - стоимость заявки i-го участника. </w:t>
      </w:r>
      <w:r>
        <w:rPr>
          <w:color w:val="000000"/>
          <w:sz w:val="20"/>
          <w:szCs w:val="20"/>
          <w:lang w:eastAsia="en-US"/>
        </w:rPr>
      </w:r>
      <w:r>
        <w:rPr>
          <w:color w:val="000000"/>
          <w:sz w:val="20"/>
          <w:szCs w:val="20"/>
          <w:lang w:eastAsia="en-US"/>
        </w:rPr>
      </w:r>
    </w:p>
    <w:p>
      <w:pPr>
        <w:ind w:firstLine="567"/>
        <w:spacing w:after="0"/>
        <w:rPr>
          <w:color w:val="000000"/>
          <w:lang w:eastAsia="en-US"/>
        </w:rPr>
      </w:pPr>
      <w:r>
        <w:rPr>
          <w:color w:val="000000"/>
          <w:lang w:eastAsia="en-US"/>
        </w:rPr>
      </w:r>
      <w:r>
        <w:rPr>
          <w:color w:val="000000"/>
          <w:lang w:eastAsia="en-US"/>
        </w:rPr>
      </w:r>
      <w:r>
        <w:rPr>
          <w:color w:val="000000"/>
          <w:lang w:eastAsia="en-US"/>
        </w:rPr>
      </w:r>
    </w:p>
    <w:p>
      <w:pPr>
        <w:ind w:firstLine="567"/>
        <w:spacing w:after="0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Для целей оценки заявок по ценовому критерию применяются ценовые предложения участников закупки без НДС.</w:t>
      </w:r>
      <w:r>
        <w:rPr>
          <w:color w:val="000000"/>
          <w:lang w:eastAsia="en-US"/>
        </w:rPr>
      </w:r>
      <w:r>
        <w:rPr>
          <w:color w:val="000000"/>
          <w:lang w:eastAsia="en-US"/>
        </w:rPr>
      </w:r>
    </w:p>
    <w:p>
      <w:pPr>
        <w:ind w:firstLine="567"/>
        <w:spacing w:after="0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Полученное значение R</w:t>
      </w:r>
      <w:r>
        <w:rPr>
          <w:color w:val="000000"/>
          <w:vertAlign w:val="subscript"/>
          <w:lang w:eastAsia="en-US"/>
        </w:rPr>
        <w:t xml:space="preserve">si </w:t>
      </w:r>
      <w:r>
        <w:rPr>
          <w:color w:val="000000"/>
          <w:lang w:eastAsia="en-US"/>
        </w:rPr>
        <w:t xml:space="preserve">является балльной оценкой по ценовому критерию и учитывается при расчете итогового рейтинга заявки участника, с учетом весового коэффициента. </w:t>
      </w:r>
      <w:r>
        <w:rPr>
          <w:color w:val="000000"/>
          <w:lang w:eastAsia="en-US"/>
        </w:rPr>
      </w:r>
      <w:r>
        <w:rPr>
          <w:color w:val="000000"/>
          <w:lang w:eastAsia="en-US"/>
        </w:rPr>
      </w:r>
    </w:p>
    <w:p>
      <w:pPr>
        <w:jc w:val="left"/>
        <w:spacing w:after="0"/>
        <w:rPr>
          <w:rFonts w:eastAsia="Calibri"/>
          <w:color w:val="000000"/>
          <w:szCs w:val="22"/>
          <w:lang w:eastAsia="en-US"/>
        </w:rPr>
      </w:pPr>
      <w:r>
        <w:rPr>
          <w:rFonts w:eastAsia="Calibri"/>
          <w:color w:val="000000"/>
          <w:szCs w:val="22"/>
          <w:lang w:eastAsia="en-US"/>
        </w:rPr>
      </w:r>
      <w:r>
        <w:rPr>
          <w:rFonts w:eastAsia="Calibri"/>
          <w:color w:val="000000"/>
          <w:szCs w:val="22"/>
          <w:lang w:eastAsia="en-US"/>
        </w:rPr>
      </w:r>
      <w:r>
        <w:rPr>
          <w:rFonts w:eastAsia="Calibri"/>
          <w:color w:val="000000"/>
          <w:szCs w:val="22"/>
          <w:lang w:eastAsia="en-US"/>
        </w:rPr>
      </w:r>
    </w:p>
    <w:p>
      <w:pPr>
        <w:ind w:firstLine="567"/>
        <w:spacing w:after="0"/>
        <w:rPr>
          <w:rFonts w:eastAsia="Calibri"/>
          <w:sz w:val="22"/>
          <w:szCs w:val="22"/>
          <w:lang w:eastAsia="en-US"/>
        </w:rPr>
      </w:pPr>
      <w:r>
        <w:rPr>
          <w:rFonts w:eastAsia="Calibri"/>
          <w:lang w:eastAsia="en-US"/>
        </w:rPr>
        <w:t xml:space="preserve">Если в отношении закупаемых товаров (в том числе поставляемым при выполнении закупаемых работ, оказании закупаемых услуг), установлено преимуще</w:t>
      </w:r>
      <w:r>
        <w:rPr>
          <w:rFonts w:eastAsia="Calibri"/>
          <w:lang w:eastAsia="en-US"/>
        </w:rPr>
        <w:t xml:space="preserve">ство, 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Положением о закупке участником закупки, пре</w:t>
      </w:r>
      <w:r>
        <w:rPr>
          <w:rFonts w:eastAsia="Calibri"/>
          <w:lang w:eastAsia="en-US"/>
        </w:rPr>
        <w:t xml:space="preserve">длагающим к поставке товар только российского происхождения, при условии, что в числе заявок на участие в закупке (окончательных предложений), которые рассматриваются, оцениваются, сопоставляются, имеется заявка на участие в закупке, которая не отклонена и</w:t>
      </w:r>
      <w:r>
        <w:rPr>
          <w:rFonts w:eastAsia="Calibri"/>
          <w:lang w:eastAsia="en-US"/>
        </w:rPr>
        <w:t xml:space="preserve"> содержит предложение о поставке хотя бы одного товара, происходящего из иностранного государства. В случае заключения договора с участником закупки, которому предоставляется преимущество, договор заключается без учета такого снижения ценового предложения.</w:t>
      </w: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</w:p>
    <w:p>
      <w:pPr>
        <w:jc w:val="left"/>
        <w:spacing w:after="0"/>
        <w:rPr>
          <w:rFonts w:eastAsia="Calibri"/>
          <w:bCs/>
          <w:szCs w:val="22"/>
          <w:lang w:eastAsia="en-US"/>
        </w:rPr>
      </w:pPr>
      <w:r>
        <w:rPr>
          <w:rFonts w:eastAsia="Calibri"/>
          <w:bCs/>
          <w:szCs w:val="22"/>
          <w:lang w:eastAsia="en-US"/>
        </w:rPr>
      </w:r>
      <w:r>
        <w:rPr>
          <w:rFonts w:eastAsia="Calibri"/>
          <w:bCs/>
          <w:szCs w:val="22"/>
          <w:lang w:eastAsia="en-US"/>
        </w:rPr>
      </w:r>
      <w:r>
        <w:rPr>
          <w:rFonts w:eastAsia="Calibri"/>
          <w:bCs/>
          <w:szCs w:val="22"/>
          <w:lang w:eastAsia="en-US"/>
        </w:rPr>
      </w:r>
    </w:p>
    <w:p>
      <w:pPr>
        <w:contextualSpacing/>
        <w:ind w:right="-2" w:firstLine="708"/>
        <w:keepNext/>
        <w:spacing w:after="120"/>
        <w:shd w:val="clear" w:color="auto" w:fill="ffffff"/>
        <w:widowControl w:val="off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4.</w:t>
      </w:r>
      <w:r>
        <w:rPr>
          <w:rFonts w:eastAsia="Calibri"/>
          <w:bCs/>
          <w:lang w:eastAsia="en-US"/>
        </w:rPr>
        <w:tab/>
        <w:t xml:space="preserve">Расчет по критерию «Наличие заключения аттестационной комиссии ПАО «Россети», подтверждающего возможность применения Товара на объектах группы компаний «Россети»» (Ra</w:t>
      </w:r>
      <w:r>
        <w:rPr>
          <w:rFonts w:eastAsia="Calibri"/>
          <w:bCs/>
          <w:lang w:val="en-US" w:eastAsia="en-US"/>
        </w:rPr>
        <w:t xml:space="preserve">i</w:t>
      </w:r>
      <w:r>
        <w:rPr>
          <w:rFonts w:eastAsia="Calibri"/>
          <w:bCs/>
          <w:lang w:eastAsia="en-US"/>
        </w:rPr>
        <w:t xml:space="preserve">)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spacing w:after="0"/>
        <w:widowControl w:val="off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Участник обязан предоставить Заключение о прохождении аттестации ПАО «Россети», действующее на плановую дату подведения итогов по закупке, указанную в настоящей документации о закупке. 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spacing w:after="0"/>
        <w:widowControl w:val="off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Участнику, предоставившему Заключение о прохождении аттестации ПАО «Россети» на все позиции товара, выставляется 100 баллов (значение R</w:t>
      </w:r>
      <w:r>
        <w:rPr>
          <w:rFonts w:eastAsia="Calibri"/>
          <w:bCs/>
          <w:lang w:val="en-US" w:eastAsia="en-US"/>
        </w:rPr>
        <w:t xml:space="preserve">ai</w:t>
      </w:r>
      <w:r>
        <w:rPr>
          <w:rFonts w:eastAsia="Calibri"/>
          <w:bCs/>
          <w:lang w:eastAsia="en-US"/>
        </w:rPr>
        <w:t xml:space="preserve">).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spacing w:after="0"/>
        <w:widowControl w:val="off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В случае, если участником предоставлено Заключение о про</w:t>
      </w:r>
      <w:r>
        <w:rPr>
          <w:rFonts w:eastAsia="Calibri"/>
          <w:bCs/>
          <w:lang w:eastAsia="en-US"/>
        </w:rPr>
        <w:t xml:space="preserve">хождении аттестации ПАО «Россети» на часть позиций товара, количество баллов рассчитывается как процентное соотношение количества позиций товара, на которые предоставлено Заключение о прохождении аттестации ПАО «Россети» к общему количеству позиций товара.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spacing w:after="0"/>
        <w:widowControl w:val="off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В том случае, если участником закупки не предоставлено Заключение о прохождении аттестации ПАО «Россети» ни на одну из позиций товара, то участник по данному критерию оценки получает 0 баллов.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spacing w:after="0"/>
        <w:widowControl w:val="off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spacing w:after="0"/>
        <w:widowControl w:val="off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Формула расчета баллов: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spacing w:after="0"/>
        <w:widowControl w:val="off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spacing w:after="0"/>
        <w:widowControl w:val="off"/>
        <w:rPr>
          <w:lang w:eastAsia="en-US"/>
        </w:rPr>
      </w:pPr>
      <w:r/>
      <m:oMath>
        <m:r>
          <w:rPr>
            <w:rFonts w:ascii="Cambria Math" w:hAnsi="Cambria Math" w:eastAsia="Calibri"/>
            <w:lang w:eastAsia="en-US"/>
          </w:rPr>
          <m:rPr/>
          <m:t>Б</m:t>
        </m:r>
        <m:r>
          <w:rPr>
            <w:rFonts w:ascii="Cambria Math" w:hAnsi="Cambria Math" w:eastAsia="Calibri"/>
            <w:lang w:eastAsia="en-US"/>
          </w:rPr>
          <m:rPr>
            <m:sty m:val="p"/>
          </m:rPr>
          <m:t>=</m:t>
        </m:r>
        <m:f>
          <m:fPr>
            <m:ctrlPr>
              <w:rPr>
                <w:rFonts w:ascii="Cambria Math" w:hAnsi="Cambria Math"/>
                <w:lang w:eastAsia="en-US"/>
              </w:rPr>
            </m:ctrlPr>
          </m:fPr>
          <m:num>
            <m:r>
              <w:rPr>
                <w:rFonts w:ascii="Cambria Math" w:hAnsi="Cambria Math" w:eastAsia="Calibri"/>
                <w:lang w:eastAsia="en-US"/>
              </w:rPr>
              <m:rPr>
                <m:sty m:val="p"/>
              </m:rPr>
              <m:t>Ка</m:t>
            </m:r>
          </m:num>
          <m:den>
            <m:r>
              <w:rPr>
                <w:rFonts w:ascii="Cambria Math" w:hAnsi="Cambria Math" w:eastAsia="Calibri"/>
                <w:lang w:eastAsia="en-US"/>
              </w:rPr>
              <m:rPr>
                <m:sty m:val="p"/>
              </m:rPr>
              <m:t>Ко</m:t>
            </m:r>
          </m:den>
        </m:f>
        <m:r>
          <w:rPr>
            <w:rFonts w:ascii="Cambria Math" w:hAnsi="Cambria Math" w:eastAsia="Calibri"/>
            <w:lang w:eastAsia="en-US"/>
          </w:rPr>
          <m:rPr/>
          <m:t>*100</m:t>
        </m:r>
      </m:oMath>
      <w:r>
        <w:rPr>
          <w:lang w:eastAsia="en-US"/>
        </w:rPr>
        <w:t xml:space="preserve">,</w:t>
      </w:r>
      <w:r>
        <w:rPr>
          <w:lang w:eastAsia="en-US"/>
        </w:rPr>
      </w:r>
      <w:r>
        <w:rPr>
          <w:lang w:eastAsia="en-US"/>
        </w:rPr>
      </w:r>
    </w:p>
    <w:p>
      <w:pPr>
        <w:spacing w:after="0"/>
        <w:widowControl w:val="off"/>
        <w:rPr>
          <w:lang w:eastAsia="en-US"/>
        </w:rPr>
      </w:pPr>
      <w:r>
        <w:rPr>
          <w:lang w:eastAsia="en-US"/>
        </w:rPr>
      </w:r>
      <w:r>
        <w:rPr>
          <w:lang w:eastAsia="en-US"/>
        </w:rPr>
      </w:r>
      <w:r>
        <w:rPr>
          <w:lang w:eastAsia="en-US"/>
        </w:rPr>
      </w:r>
    </w:p>
    <w:p>
      <w:pPr>
        <w:spacing w:after="0"/>
        <w:widowControl w:val="off"/>
        <w:rPr>
          <w:lang w:eastAsia="en-US"/>
        </w:rPr>
      </w:pPr>
      <w:r>
        <w:rPr>
          <w:lang w:eastAsia="en-US"/>
        </w:rPr>
        <w:t xml:space="preserve">где Б – количество баллов,</w:t>
      </w:r>
      <w:r>
        <w:rPr>
          <w:lang w:eastAsia="en-US"/>
        </w:rPr>
      </w:r>
      <w:r>
        <w:rPr>
          <w:lang w:eastAsia="en-US"/>
        </w:rPr>
      </w:r>
    </w:p>
    <w:p>
      <w:pPr>
        <w:spacing w:after="0"/>
        <w:widowControl w:val="off"/>
        <w:rPr>
          <w:rFonts w:eastAsia="Calibri"/>
          <w:bCs/>
          <w:lang w:eastAsia="en-US"/>
        </w:rPr>
      </w:pPr>
      <w:r>
        <w:rPr>
          <w:lang w:eastAsia="en-US"/>
        </w:rPr>
        <w:t xml:space="preserve">Ка – количество позиций товара, на которое предоставлено </w:t>
      </w:r>
      <w:r>
        <w:rPr>
          <w:rFonts w:eastAsia="Calibri"/>
          <w:bCs/>
          <w:lang w:eastAsia="en-US"/>
        </w:rPr>
        <w:t xml:space="preserve">Заключение о прохождении аттестации ПАО «Россети»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jc w:val="left"/>
        <w:spacing w:after="0"/>
        <w:rPr>
          <w:b/>
          <w:i/>
          <w:highlight w:val="cyan"/>
        </w:rPr>
      </w:pPr>
      <w:r>
        <w:rPr>
          <w:rFonts w:eastAsia="Calibri"/>
          <w:bCs/>
          <w:lang w:eastAsia="en-US"/>
        </w:rPr>
        <w:t xml:space="preserve">Ко – общее количество позиций товара.</w:t>
      </w:r>
      <w:r>
        <w:rPr>
          <w:b/>
          <w:i/>
          <w:highlight w:val="cyan"/>
        </w:rPr>
        <w:br w:type="page" w:clear="all"/>
      </w:r>
      <w:r>
        <w:rPr>
          <w:b/>
          <w:i/>
          <w:highlight w:val="cyan"/>
        </w:rPr>
      </w:r>
      <w:r>
        <w:rPr>
          <w:b/>
          <w:i/>
          <w:highlight w:val="cyan"/>
        </w:rPr>
      </w:r>
    </w:p>
    <w:p>
      <w:pPr>
        <w:contextualSpacing/>
        <w:ind w:right="159" w:firstLine="567"/>
        <w:spacing w:after="120"/>
        <w:shd w:val="clear" w:color="auto" w:fill="ffffff"/>
        <w:rPr>
          <w:b/>
          <w:i/>
          <w:highlight w:val="cyan"/>
        </w:rPr>
      </w:pPr>
      <w:r>
        <w:rPr>
          <w:b/>
          <w:i/>
          <w:highlight w:val="cyan"/>
        </w:rPr>
      </w:r>
      <w:r>
        <w:rPr>
          <w:b/>
          <w:i/>
          <w:highlight w:val="cyan"/>
        </w:rPr>
      </w:r>
      <w:r>
        <w:rPr>
          <w:b/>
          <w:i/>
          <w:highlight w:val="cyan"/>
        </w:rPr>
      </w:r>
    </w:p>
    <w:p>
      <w:pPr>
        <w:pStyle w:val="807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 2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right"/>
        <w:rPr>
          <w:b/>
        </w:rPr>
      </w:pPr>
      <w:r>
        <w:rPr>
          <w:b/>
        </w:rPr>
        <w:t xml:space="preserve">к части II «ИНФОРМАЦИОННАЯ КАРТА ЗАКУПКИ» </w:t>
      </w:r>
      <w:r>
        <w:rPr>
          <w:b/>
        </w:rPr>
      </w:r>
      <w:r>
        <w:rPr>
          <w:b/>
        </w:rPr>
      </w:r>
    </w:p>
    <w:p>
      <w:pPr>
        <w:jc w:val="center"/>
        <w:spacing w:after="0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spacing w:after="0"/>
        <w:rPr>
          <w:b/>
        </w:rPr>
      </w:pPr>
      <w:r>
        <w:rPr>
          <w:b/>
        </w:rPr>
        <w:t xml:space="preserve">Требования к участникам закупки; информации и документам, представляемым в составе заявки участника закупки</w:t>
      </w:r>
      <w:r>
        <w:rPr>
          <w:b/>
        </w:rPr>
      </w:r>
      <w:r>
        <w:rPr>
          <w:b/>
        </w:rPr>
      </w:r>
    </w:p>
    <w:p>
      <w:pPr>
        <w:jc w:val="center"/>
        <w:spacing w:after="0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154"/>
        <w:jc w:val="both"/>
        <w:widowControl w:val="off"/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В целях подтверждения соответствия установленным требованиям, участник закупки должен включить </w:t>
      </w:r>
      <w:r>
        <w:rPr>
          <w:rFonts w:ascii="Times New Roman" w:hAnsi="Times New Roman" w:cs="Times New Roman"/>
          <w:caps/>
          <w:color w:val="auto"/>
          <w:sz w:val="24"/>
          <w:szCs w:val="24"/>
        </w:rPr>
        <w:t xml:space="preserve">в состав первой части заявки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 следующую ИНФОРМАЦИЮ и документы: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r>
    </w:p>
    <w:tbl>
      <w:tblPr>
        <w:tblW w:w="5000" w:type="pct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3921"/>
        <w:gridCol w:w="5716"/>
      </w:tblGrid>
      <w:tr>
        <w:tblPrEx/>
        <w:trPr>
          <w:trHeight w:val="735"/>
          <w:tblHeader/>
        </w:trPr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264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1927" w:type="pct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Требование к участнику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2809" w:type="pct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Наименование документа, подтверждающего его соответствие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5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Предоставление предложения участника в отношении предмета закупки.</w:t>
            </w:r>
            <w:r>
              <w:rPr>
                <w:bCs/>
                <w:sz w:val="20"/>
                <w:szCs w:val="20"/>
                <w:lang w:eastAsia="ar-SA"/>
              </w:rPr>
            </w:r>
            <w:r>
              <w:rPr>
                <w:bCs/>
                <w:sz w:val="20"/>
                <w:szCs w:val="20"/>
                <w:lang w:eastAsia="ar-SA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Частичное выполнение работ/услуг/поставок не допускается.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Техническое предложение (</w:t>
            </w:r>
            <w:r>
              <w:rPr>
                <w:sz w:val="20"/>
                <w:szCs w:val="20"/>
              </w:rPr>
              <w:t xml:space="preserve">по </w:t>
            </w:r>
            <w:r>
              <w:rPr>
                <w:bCs/>
                <w:sz w:val="20"/>
                <w:szCs w:val="20"/>
              </w:rPr>
              <w:t xml:space="preserve">установленной</w:t>
            </w:r>
            <w:r>
              <w:rPr>
                <w:sz w:val="20"/>
                <w:szCs w:val="20"/>
              </w:rPr>
              <w:t xml:space="preserve"> форме в соответствии с приложением).</w:t>
            </w:r>
            <w:r>
              <w:rPr>
                <w:bCs/>
                <w:sz w:val="20"/>
                <w:szCs w:val="20"/>
                <w:lang w:eastAsia="ar-SA"/>
              </w:rPr>
            </w:r>
            <w:r>
              <w:rPr>
                <w:bCs/>
                <w:sz w:val="20"/>
                <w:szCs w:val="20"/>
                <w:lang w:eastAsia="ar-SA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</w:r>
            <w:r>
              <w:rPr>
                <w:bCs/>
                <w:sz w:val="20"/>
                <w:szCs w:val="20"/>
                <w:lang w:eastAsia="ar-SA"/>
              </w:rPr>
            </w:r>
            <w:r>
              <w:rPr>
                <w:bCs/>
                <w:sz w:val="20"/>
                <w:szCs w:val="20"/>
                <w:lang w:eastAsia="ar-SA"/>
              </w:rPr>
            </w:r>
          </w:p>
        </w:tc>
      </w:tr>
    </w:tbl>
    <w:p>
      <w:pPr>
        <w:pStyle w:val="1154"/>
        <w:jc w:val="both"/>
        <w:widowControl w:val="off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</w:r>
    </w:p>
    <w:p>
      <w:pPr>
        <w:pStyle w:val="1154"/>
        <w:jc w:val="both"/>
        <w:widowControl w:val="off"/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В целях подтверждения соответствия установленным требованиям, участник закупки должен включить </w:t>
      </w:r>
      <w:r>
        <w:rPr>
          <w:rFonts w:ascii="Times New Roman" w:hAnsi="Times New Roman" w:cs="Times New Roman"/>
          <w:caps/>
          <w:color w:val="auto"/>
          <w:sz w:val="24"/>
          <w:szCs w:val="24"/>
        </w:rPr>
        <w:t xml:space="preserve">в состав второй части заявки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 следующую ИНФОРМАЦИЮ и документы: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r>
    </w:p>
    <w:tbl>
      <w:tblPr>
        <w:tblW w:w="5000" w:type="pct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539"/>
        <w:gridCol w:w="3933"/>
        <w:gridCol w:w="5733"/>
      </w:tblGrid>
      <w:tr>
        <w:tblPrEx/>
        <w:trPr>
          <w:trHeight w:val="735"/>
          <w:tblHeader/>
        </w:trPr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539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3933" w:type="dxa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Требование к участнику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5733" w:type="dxa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Наименование документа, подтверждающего его соответствие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9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сведений об участнике закупки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Сведения об участнике закупки (по установленной форме в соответствии с приложением).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случае если участником закупки является коллективный участник, информация об участнике заполняется в отношении каждого члена коллективного участника.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9"/>
        </w:trPr>
        <w:tc>
          <w:tcPr>
            <w:tcW w:w="539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vMerge w:val="restar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</w:t>
            </w:r>
            <w:r>
              <w:rPr>
                <w:bCs/>
                <w:sz w:val="20"/>
                <w:szCs w:val="20"/>
              </w:rPr>
              <w:t xml:space="preserve">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Копия учредительного документа (если участником закупки является юридическое лицо) (если участником закупки является коллективный участник, копия учредительного документа предоставляется на каждого члена коллективного участника).</w:t>
            </w:r>
            <w:r>
              <w:rPr>
                <w:rFonts w:eastAsia="Arial Unicode MS"/>
                <w:sz w:val="20"/>
                <w:szCs w:val="20"/>
              </w:rPr>
            </w:r>
            <w:r>
              <w:rPr>
                <w:rFonts w:eastAsia="Arial Unicode MS"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9"/>
        </w:trPr>
        <w:tc>
          <w:tcPr>
            <w:tcW w:w="539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vMerge w:val="continue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pStyle w:val="1154"/>
              <w:jc w:val="both"/>
              <w:spacing w:after="0"/>
              <w:widowControl w:val="off"/>
              <w:tabs>
                <w:tab w:val="left" w:pos="449" w:leader="none"/>
              </w:tabs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2. Копия документа, подтверждающего полномочия лица действовать от имени участника закупки, за исключением случаев подписания заявки:</w:t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r>
          </w:p>
          <w:p>
            <w:pPr>
              <w:pStyle w:val="1154"/>
              <w:numPr>
                <w:ilvl w:val="0"/>
                <w:numId w:val="29"/>
              </w:numPr>
              <w:ind w:left="34" w:firstLine="0"/>
              <w:jc w:val="both"/>
              <w:spacing w:after="0"/>
              <w:widowControl w:val="off"/>
              <w:tabs>
                <w:tab w:val="left" w:pos="449" w:leader="none"/>
              </w:tabs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 индивидуальным предпринимателем, если участником закупки является индивидуальный предприниматель;</w:t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r>
          </w:p>
          <w:p>
            <w:pPr>
              <w:pStyle w:val="1154"/>
              <w:numPr>
                <w:ilvl w:val="0"/>
                <w:numId w:val="29"/>
              </w:numPr>
              <w:ind w:left="34" w:firstLine="0"/>
              <w:jc w:val="both"/>
              <w:spacing w:after="0"/>
              <w:widowControl w:val="off"/>
              <w:tabs>
                <w:tab w:val="left" w:pos="449" w:leader="none"/>
              </w:tabs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 лицом, указанным в едином государственном реестре юридических лиц в качестве лица, имеющего право без доверенности действовать от имени юридического лица, если участником закупки является юридическое лицо.</w:t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r>
          </w:p>
          <w:p>
            <w:pPr>
              <w:pStyle w:val="1154"/>
              <w:jc w:val="both"/>
              <w:spacing w:after="0"/>
              <w:widowControl w:val="off"/>
              <w:tabs>
                <w:tab w:val="left" w:pos="449" w:leader="none"/>
              </w:tabs>
            </w:pP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Если участником закупки является коллективный участник, в составе заявки </w:t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предоставляется доверенность, подтверждающая полномочия лица, подписавшего заявку, представлять интересы членов коллективного участника, по форме, приведенной в настоящей документации о закупке (часть III «ОБРАЗЦЫ ФОРМ ДЛЯ ЗАПОЛНЕНИЯ УЧАСТНИКАМИ ЗАКУПКИ»).</w:t>
            </w:r>
            <w:r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03"/>
        </w:trPr>
        <w:tc>
          <w:tcPr>
            <w:tcW w:w="539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vMerge w:val="continue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</w:pPr>
            <w:r/>
            <w:r/>
          </w:p>
        </w:tc>
        <w:tc>
          <w:tcPr>
            <w:tcW w:w="57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Копия решения о согласии на совершение крупной сделки или о последующем одобрении этой сделки, если требование о наличии указанного решения установлено законодательством Российской Федерации и для у</w:t>
            </w:r>
            <w:r>
              <w:rPr>
                <w:sz w:val="20"/>
                <w:szCs w:val="20"/>
              </w:rPr>
              <w:t xml:space="preserve">частника закупки заключение по результатам такой закупки договора либо предоставление обеспечения заявки на участие в такой закупке (если установлено требование об обеспечении заявок), обеспечения исполнения договора (если установлено требование об обеспеч</w:t>
            </w:r>
            <w:r>
              <w:rPr>
                <w:sz w:val="20"/>
                <w:szCs w:val="20"/>
              </w:rPr>
              <w:t xml:space="preserve">ении исполнения договора) является крупной сделкой. Если участником закупки является коллективный участник, копия решения о согласии на совершение крупной сделки или о последующем одобрении этой сделки предоставляется каждым членом коллективного участника.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Таковыми документами являются: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Д</w:t>
            </w:r>
            <w:r>
              <w:rPr>
                <w:i/>
                <w:sz w:val="18"/>
                <w:szCs w:val="18"/>
                <w:lang w:eastAsia="en-US"/>
              </w:rPr>
              <w:t xml:space="preserve">ля общества с ограниченной ответственностью – выписка из протокола, содержащего решение о совершении крупной сделки, принятое и оформление в соотве</w:t>
            </w:r>
            <w:r>
              <w:rPr>
                <w:i/>
                <w:sz w:val="18"/>
                <w:szCs w:val="18"/>
                <w:lang w:eastAsia="en-US"/>
              </w:rPr>
              <w:t xml:space="preserve">тствии со ст. 46 Федерального закона от 08.02.1998 №14-ФЗ «Об обществах с ограниченной ответственностью»,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  <w:p>
            <w:pPr>
              <w:ind w:right="34"/>
              <w:jc w:val="left"/>
              <w:spacing w:after="0"/>
              <w:shd w:val="clear" w:color="auto" w:fill="ffffff"/>
              <w:widowControl w:val="off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Для акционерного общества - выписка из протокола, содержащего решение об одобрении крупной сделки, принятое и оформление в соответствии со ст.79</w:t>
            </w:r>
            <w:r>
              <w:rPr>
                <w:i/>
                <w:sz w:val="18"/>
                <w:szCs w:val="18"/>
              </w:rPr>
              <w:t xml:space="preserve"> Федерального закона от 26.12.1995 №208-ФЗ «Об акционерных обществах»,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  <w:p>
            <w:pPr>
              <w:ind w:right="34"/>
              <w:jc w:val="left"/>
              <w:spacing w:after="0"/>
              <w:shd w:val="clear" w:color="auto" w:fill="ffffff"/>
              <w:widowControl w:val="off"/>
              <w:rPr>
                <w:sz w:val="20"/>
                <w:szCs w:val="20"/>
              </w:rPr>
            </w:pPr>
            <w:r>
              <w:rPr>
                <w:i/>
                <w:sz w:val="18"/>
                <w:szCs w:val="18"/>
              </w:rPr>
              <w:t xml:space="preserve">Для унитарного п</w:t>
            </w:r>
            <w:r>
              <w:rPr>
                <w:i/>
                <w:sz w:val="18"/>
                <w:szCs w:val="18"/>
              </w:rPr>
              <w:t xml:space="preserve">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предприятиях.).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03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</w:pPr>
            <w:r>
              <w:rPr>
                <w:sz w:val="20"/>
                <w:szCs w:val="20"/>
              </w:rPr>
              <w:t xml:space="preserve">Предоставление декларации, подтверждающей на дату подачи заявки на участие в закупке соответствие участника требованиям, установленным п. 9 ч. 19.1 ст. 3.4 Закона 223-ФЗ</w:t>
            </w:r>
            <w:r/>
          </w:p>
        </w:tc>
        <w:tc>
          <w:tcPr>
            <w:tcW w:w="5733" w:type="dxa"/>
            <w:textDirection w:val="lrTb"/>
            <w:noWrap w:val="false"/>
          </w:tcPr>
          <w:p>
            <w:pPr>
              <w:ind w:right="34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Декларация, подтверждающая на дату подачи заявки на участие в закупке соответствие участника следующим требованиям, установленным п. 9 ч. 19.1 ст. 3.4 Закона 223-ФЗ: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numPr>
                <w:ilvl w:val="0"/>
                <w:numId w:val="30"/>
              </w:numPr>
              <w:ind w:left="0" w:right="34" w:firstLine="0"/>
              <w:spacing w:after="0"/>
              <w:widowControl w:val="off"/>
              <w:rPr>
                <w:bCs/>
                <w:sz w:val="20"/>
                <w:szCs w:val="20"/>
              </w:rPr>
            </w:pPr>
            <w:r/>
            <w:bookmarkStart w:id="121" w:name="_Ref303614975"/>
            <w:r/>
            <w:bookmarkStart w:id="122" w:name="_Ref303599765"/>
            <w:r>
              <w:rPr>
                <w:bCs/>
                <w:sz w:val="20"/>
                <w:szCs w:val="20"/>
              </w:rPr>
              <w:t xml:space="preserve">непроведение ликвидации участника - юридического лица и отсутствие решения арбитражного суда о признании участника такой закупки - юридического лица или индивидуального предпринимателя несостоятельным (банкротом);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numPr>
                <w:ilvl w:val="0"/>
                <w:numId w:val="30"/>
              </w:numPr>
              <w:ind w:left="0" w:right="34" w:firstLine="0"/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неприостановление деятельности участника закупки в порядке, установленном Кодексом Российской Федерации об административных правонарушениях;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numPr>
                <w:ilvl w:val="0"/>
                <w:numId w:val="30"/>
              </w:numPr>
              <w:ind w:left="0" w:right="34" w:firstLine="0"/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отсутствие у участника закупки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</w:t>
            </w:r>
            <w:r>
              <w:rPr>
                <w:bCs/>
                <w:sz w:val="20"/>
                <w:szCs w:val="20"/>
              </w:rPr>
              <w:t xml:space="preserve">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</w:t>
            </w:r>
            <w:r>
              <w:rPr>
                <w:bCs/>
                <w:sz w:val="20"/>
                <w:szCs w:val="20"/>
              </w:rPr>
              <w:t xml:space="preserve">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</w:t>
            </w:r>
            <w:r>
              <w:rPr>
                <w:bCs/>
                <w:sz w:val="20"/>
                <w:szCs w:val="20"/>
              </w:rPr>
              <w:t xml:space="preserve">торых превышает двадцать пять процентов балансовой стоимости активов участника такой закупки, по данным бухгалтерской (финансовой) отчетности за последний отчетный период. Участник закупки считается соответствующим установленному требованию в случае, если </w:t>
            </w:r>
            <w:r>
              <w:rPr>
                <w:bCs/>
                <w:sz w:val="20"/>
                <w:szCs w:val="20"/>
              </w:rPr>
              <w:t xml:space="preserve">им в установленном порядке подано заявление об обжаловании указанных недоимки,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принято;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numPr>
                <w:ilvl w:val="0"/>
                <w:numId w:val="30"/>
              </w:numPr>
              <w:ind w:left="0" w:right="34" w:firstLine="0"/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отсутствие у участника закупки - физического лица, заре</w:t>
            </w:r>
            <w:r>
              <w:rPr>
                <w:bCs/>
                <w:sz w:val="20"/>
                <w:szCs w:val="20"/>
              </w:rPr>
              <w:t xml:space="preserve">гистрированного в качестве индивидуального предпринимателя,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участника закупки неп</w:t>
            </w:r>
            <w:r>
              <w:rPr>
                <w:bCs/>
                <w:sz w:val="20"/>
                <w:szCs w:val="20"/>
              </w:rPr>
              <w:t xml:space="preserve">огашенной или неснятой судимости за преступления в сфере экономики и (или) преступления, предусмотренные статьями 289, 290, 291, 291.1 Уголовного кодекса Российской Федерации, а также неприменение в отношении указанных физических лиц наказания в виде лишен</w:t>
            </w:r>
            <w:r>
              <w:rPr>
                <w:bCs/>
                <w:sz w:val="20"/>
                <w:szCs w:val="20"/>
              </w:rPr>
              <w:t xml:space="preserve">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осуществляемой закупки, и административного наказания в виде дисквалификации;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numPr>
                <w:ilvl w:val="0"/>
                <w:numId w:val="30"/>
              </w:numPr>
              <w:ind w:left="0" w:right="34" w:firstLine="0"/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отсутствие фактов привлечения в течение двух ле</w:t>
            </w:r>
            <w:r>
              <w:rPr>
                <w:bCs/>
                <w:sz w:val="20"/>
                <w:szCs w:val="20"/>
              </w:rPr>
              <w:t xml:space="preserve">т до момента подачи заявки на участие в закупке участника - юридического лица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</w:t>
            </w:r>
            <w:bookmarkEnd w:id="121"/>
            <w:r/>
            <w:bookmarkEnd w:id="122"/>
            <w:r>
              <w:rPr>
                <w:bCs/>
                <w:sz w:val="20"/>
                <w:szCs w:val="20"/>
              </w:rPr>
              <w:t xml:space="preserve">.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ind w:right="34"/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ind w:right="34"/>
              <w:spacing w:after="0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Декларация представляется в составе заявки участником закупки с использованием программно-аппаратных средств электронной площадки.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9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rPr>
                <w:rFonts w:eastAsia="Calibri"/>
                <w:bCs/>
                <w:i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Соответствие критериям отнесения к субъектам МСП</w:t>
            </w:r>
            <w:r>
              <w:rPr>
                <w:rFonts w:eastAsia="Calibri"/>
                <w:bCs/>
                <w:i/>
                <w:sz w:val="20"/>
                <w:szCs w:val="20"/>
              </w:rPr>
            </w:r>
            <w:r>
              <w:rPr>
                <w:rFonts w:eastAsia="Calibri"/>
                <w:bCs/>
                <w:i/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проверяются Заказчиком самостоятельно по данным из Единого реестра субъектов малого и среднего предпринимательства (</w:t>
            </w:r>
            <w:hyperlink r:id="rId24" w:tooltip="https://rmsp.nalog.ru/" w:history="1">
              <w:r>
                <w:rPr>
                  <w:bCs/>
                  <w:color w:val="0000ff"/>
                  <w:sz w:val="20"/>
                  <w:szCs w:val="22"/>
                  <w:u w:val="single"/>
                </w:rPr>
                <w:t xml:space="preserve">https://rmsp.nalog.ru/</w:t>
              </w:r>
            </w:hyperlink>
            <w:r>
              <w:rPr>
                <w:bCs/>
                <w:sz w:val="20"/>
                <w:szCs w:val="20"/>
                <w:lang w:eastAsia="ar-SA"/>
              </w:rPr>
              <w:t xml:space="preserve">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left"/>
              <w:spacing w:after="0"/>
              <w:tabs>
                <w:tab w:val="left" w:pos="232" w:leader="none"/>
                <w:tab w:val="left" w:pos="5245" w:leader="none"/>
              </w:tabs>
              <w:rPr>
                <w:bCs/>
                <w:sz w:val="20"/>
                <w:szCs w:val="22"/>
              </w:rPr>
            </w:pP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bCs/>
                <w:sz w:val="20"/>
                <w:szCs w:val="22"/>
              </w:rPr>
            </w:r>
            <w:r>
              <w:rPr>
                <w:bCs/>
                <w:sz w:val="20"/>
                <w:szCs w:val="22"/>
              </w:rPr>
            </w:r>
          </w:p>
        </w:tc>
      </w:tr>
      <w:tr>
        <w:tblPrEx/>
        <w:trPr>
          <w:trHeight w:val="499"/>
        </w:trPr>
        <w:tc>
          <w:tcPr>
            <w:tcW w:w="539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/>
            <w:bookmarkStart w:id="123" w:name="_GoBack"/>
            <w:r/>
            <w:bookmarkEnd w:id="123"/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vMerge w:val="restart"/>
            <w:textDirection w:val="lrTb"/>
            <w:noWrap w:val="false"/>
          </w:tcPr>
          <w:p>
            <w:pPr>
              <w:spacing w:after="0"/>
              <w:widowControl w:val="off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 xml:space="preserve">Соответствие критериям отнесения к самозанятым гражданам. </w:t>
            </w:r>
            <w:r>
              <w:rPr>
                <w:rFonts w:eastAsia="Arial Unicode MS"/>
                <w:sz w:val="20"/>
                <w:szCs w:val="20"/>
              </w:rPr>
            </w:r>
            <w:r>
              <w:rPr>
                <w:rFonts w:eastAsia="Arial Unicode MS"/>
                <w:sz w:val="20"/>
                <w:szCs w:val="20"/>
              </w:rPr>
            </w:r>
          </w:p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 xml:space="preserve">Требование применяется только к участникам закупки -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33" w:type="dxa"/>
            <w:vMerge w:val="restart"/>
            <w:textDirection w:val="lrTb"/>
            <w:noWrap w:val="false"/>
          </w:tcPr>
          <w:p>
            <w:pPr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проверяются Заказчиком самостоятельно по данным сайта </w:t>
            </w:r>
            <w:hyperlink r:id="rId25" w:tooltip="https://npd.nalog.ru/check-status/" w:history="1">
              <w:r>
                <w:rPr>
                  <w:rStyle w:val="1033"/>
                  <w:bCs/>
                  <w:sz w:val="20"/>
                  <w:szCs w:val="20"/>
                  <w:lang w:eastAsia="ar-SA"/>
                </w:rPr>
                <w:t xml:space="preserve">https://npd.nalog.ru/check-status/</w:t>
              </w:r>
            </w:hyperlink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5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widowControl w:val="off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Отсутствие участника в Реестре недобросовестных п</w:t>
            </w:r>
            <w:r>
              <w:rPr>
                <w:rFonts w:eastAsia="Calibri"/>
                <w:bCs/>
                <w:sz w:val="20"/>
                <w:szCs w:val="20"/>
              </w:rPr>
              <w:t xml:space="preserve">оставщиков, который ведется в соответствии с Федеральным законом от 18.07.2011 № 223-ФЗ «О закупках товаров, работ, услуг отдельными видами юридических лиц», либо в Реестре недобросовестных поставщиков, который ведется в соответствии с Федеральным законом </w:t>
            </w:r>
            <w:r>
              <w:rPr>
                <w:rFonts w:eastAsia="Calibri"/>
                <w:bCs/>
                <w:sz w:val="20"/>
                <w:szCs w:val="22"/>
              </w:rPr>
              <w:t xml:space="preserve">от 05.04.2013 № 44-ФЗ «О контрактной системе в сфере закупок товаров, выполнение работ, оказание услуг для государственных и муниципальных нужд»</w:t>
            </w:r>
            <w:r>
              <w:rPr>
                <w:rFonts w:eastAsia="Calibri"/>
                <w:b/>
                <w:bCs/>
                <w:sz w:val="20"/>
                <w:szCs w:val="20"/>
              </w:rPr>
            </w:r>
            <w:r>
              <w:rPr>
                <w:rFonts w:eastAsia="Calibri"/>
                <w:b/>
                <w:bCs/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отслеживаются Заказчиком самостоятельно по данным из </w:t>
            </w:r>
            <w:r>
              <w:rPr>
                <w:sz w:val="20"/>
                <w:szCs w:val="20"/>
              </w:rPr>
              <w:t xml:space="preserve">единой информационной системы </w:t>
            </w:r>
            <w:r>
              <w:rPr>
                <w:bCs/>
                <w:sz w:val="20"/>
                <w:szCs w:val="20"/>
                <w:lang w:eastAsia="ar-SA"/>
              </w:rPr>
              <w:t xml:space="preserve">(</w:t>
            </w:r>
            <w:hyperlink r:id="rId26" w:tooltip="http://www.zakupki.gov.ru" w:history="1">
              <w:r>
                <w:rPr>
                  <w:rStyle w:val="1033"/>
                  <w:bCs/>
                  <w:sz w:val="20"/>
                  <w:szCs w:val="20"/>
                  <w:lang w:eastAsia="ar-SA"/>
                </w:rPr>
                <w:t xml:space="preserve">www.zakupki.gov.ru</w:t>
              </w:r>
            </w:hyperlink>
            <w:r>
              <w:rPr>
                <w:bCs/>
                <w:sz w:val="20"/>
                <w:szCs w:val="20"/>
                <w:lang w:eastAsia="ar-SA"/>
              </w:rPr>
              <w:t xml:space="preserve">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keepNext/>
              <w:spacing w:after="0"/>
              <w:widowControl w:val="off"/>
              <w:tabs>
                <w:tab w:val="left" w:pos="326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5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widowControl w:val="off"/>
              <w:rPr>
                <w:rFonts w:eastAsia="Calibri"/>
                <w:b/>
                <w:bCs/>
                <w:sz w:val="20"/>
                <w:szCs w:val="20"/>
                <w:highlight w:val="yellow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Отсутствие участника в перечне юридических лиц, в отношении которых применяются специальные экономические м</w:t>
            </w:r>
            <w:r>
              <w:rPr>
                <w:rFonts w:eastAsia="Calibri"/>
                <w:bCs/>
                <w:sz w:val="20"/>
                <w:szCs w:val="20"/>
              </w:rPr>
              <w:t xml:space="preserve">еры, утвержденном Постановлением Правительства РФ от 11.05.2022 N 851 "О мерах по реализации Указа Президента Российской Федерации от 3 мая 2022 г. N 252" (вместе с "Перечнем юридических лиц, в отношении которых применяются специальные экономические меры")</w:t>
            </w:r>
            <w:r>
              <w:rPr>
                <w:rFonts w:eastAsia="Calibri"/>
                <w:b/>
                <w:bCs/>
                <w:sz w:val="20"/>
                <w:szCs w:val="20"/>
                <w:highlight w:val="yellow"/>
              </w:rPr>
            </w:r>
            <w:r>
              <w:rPr>
                <w:rFonts w:eastAsia="Calibri"/>
                <w:b/>
                <w:bCs/>
                <w:sz w:val="20"/>
                <w:szCs w:val="20"/>
                <w:highlight w:val="yellow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  <w:highlight w:val="yellow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отслеживаются Заказчиком самостоятельно. </w:t>
            </w: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5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widowControl w:val="off"/>
              <w:rPr>
                <w:rFonts w:eastAsia="Calibri"/>
                <w:bCs/>
                <w:sz w:val="20"/>
                <w:szCs w:val="20"/>
                <w:highlight w:val="yellow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Отсутствие участника в Реестре иностранных агентов, который ведется в соответствии с Федеральным законом от 14.07.2022 N 255-ФЗ "О контроле за деятельностью лиц, находящихся под иностранным влиянием"</w:t>
            </w:r>
            <w:r>
              <w:rPr>
                <w:rFonts w:eastAsia="Calibri"/>
                <w:bCs/>
                <w:sz w:val="20"/>
                <w:szCs w:val="20"/>
                <w:highlight w:val="yellow"/>
              </w:rPr>
            </w:r>
            <w:r>
              <w:rPr>
                <w:rFonts w:eastAsia="Calibri"/>
                <w:bCs/>
                <w:sz w:val="20"/>
                <w:szCs w:val="20"/>
                <w:highlight w:val="yellow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spacing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отслеживаются Заказчиком самостоятельно по данным Реестра иностранных агентов, размещенного на официальном сайте Министерства юстиции РФ (https://minjust.gov.ru/ru/activity/directions/942/).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5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widowControl w:val="off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Предоставление сведений о наименовании страны происхождения поставляемого товара, в том числе в случае, если товар поставляется Заказчику при выполнении работ/оказании услуг; </w:t>
            </w:r>
            <w:r>
              <w:rPr>
                <w:rFonts w:eastAsia="Calibri"/>
                <w:sz w:val="20"/>
                <w:szCs w:val="20"/>
              </w:rPr>
              <w:t xml:space="preserve">информации, определенной в соответствии с пунктом 2 части 2 статьи 3.1-4 настояще</w:t>
            </w:r>
            <w:r>
              <w:rPr>
                <w:rFonts w:eastAsia="Calibri"/>
                <w:sz w:val="20"/>
                <w:szCs w:val="20"/>
                <w:lang w:eastAsia="ar-SA"/>
              </w:rPr>
              <w:t xml:space="preserve">го Закона 223-ФЗ</w:t>
            </w:r>
            <w:r>
              <w:rPr>
                <w:rFonts w:eastAsia="Calibri"/>
                <w:bCs/>
                <w:sz w:val="20"/>
                <w:szCs w:val="20"/>
              </w:rPr>
            </w:r>
            <w:r>
              <w:rPr>
                <w:rFonts w:eastAsia="Calibri"/>
                <w:bCs/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rFonts w:eastAsia="Calibri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eastAsia="Calibri"/>
                <w:sz w:val="20"/>
                <w:szCs w:val="20"/>
                <w:lang w:eastAsia="ar-SA"/>
              </w:rPr>
              <w:t xml:space="preserve">Сведения о наименовании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</w:t>
            </w:r>
            <w:r>
              <w:rPr>
                <w:rFonts w:eastAsia="Calibri"/>
                <w:sz w:val="20"/>
                <w:szCs w:val="20"/>
              </w:rPr>
              <w:t xml:space="preserve">информация, определенная в соответствии с пунктом 2 части 2 статьи 3.1-4 настояще</w:t>
            </w:r>
            <w:r>
              <w:rPr>
                <w:rFonts w:eastAsia="Calibri"/>
                <w:sz w:val="20"/>
                <w:szCs w:val="20"/>
                <w:lang w:eastAsia="ar-SA"/>
              </w:rPr>
              <w:t xml:space="preserve">го Закона 223-ФЗ (по установленной форме в соответствии с приложением).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</w:tr>
      <w:tr>
        <w:tblPrEx/>
        <w:trPr>
          <w:trHeight w:val="205"/>
        </w:trPr>
        <w:tc>
          <w:tcPr>
            <w:tcW w:w="539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vMerge w:val="restar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rFonts w:eastAsia="Calibri"/>
                <w:sz w:val="20"/>
                <w:szCs w:val="20"/>
                <w:highlight w:val="white"/>
              </w:rPr>
            </w:pPr>
            <w:r>
              <w:rPr>
                <w:rFonts w:eastAsia="Calibri"/>
                <w:b/>
                <w:bCs/>
                <w:sz w:val="20"/>
                <w:szCs w:val="20"/>
                <w:highlight w:val="white"/>
                <w:u w:val="single"/>
              </w:rPr>
              <w:t xml:space="preserve">Запрет</w:t>
            </w:r>
            <w:r>
              <w:rPr>
                <w:rFonts w:eastAsia="Calibri"/>
                <w:sz w:val="20"/>
                <w:szCs w:val="20"/>
                <w:highlight w:val="white"/>
              </w:rPr>
              <w:t xml:space="preserve"> на закупку товаров (в том числе поставляемых при выполнении закупаемых работ, оказании закупаемых услуг), происходящих из иностранных государств в соответствии с требованиями статьи 3.1-4 Закона 223-ФЗ и ПП № 1875.</w:t>
            </w:r>
            <w:r>
              <w:rPr>
                <w:rFonts w:eastAsia="Calibri"/>
                <w:sz w:val="20"/>
                <w:szCs w:val="20"/>
                <w:highlight w:val="white"/>
              </w:rPr>
            </w:r>
            <w:r>
              <w:rPr>
                <w:rFonts w:eastAsia="Calibri"/>
                <w:sz w:val="20"/>
                <w:szCs w:val="20"/>
                <w:highlight w:val="white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rFonts w:eastAsia="Calibri"/>
                <w:sz w:val="20"/>
                <w:szCs w:val="20"/>
                <w:highlight w:val="white"/>
              </w:rPr>
            </w:pPr>
            <w:r>
              <w:rPr>
                <w:rFonts w:eastAsia="Calibri"/>
                <w:sz w:val="20"/>
                <w:szCs w:val="20"/>
                <w:highlight w:val="white"/>
              </w:rPr>
              <w:t xml:space="preserve">Информация о товарах, на которые распространяется </w:t>
            </w:r>
            <w:r>
              <w:rPr>
                <w:rFonts w:eastAsia="Calibri"/>
                <w:b/>
                <w:bCs/>
                <w:sz w:val="20"/>
                <w:szCs w:val="20"/>
                <w:highlight w:val="white"/>
                <w:u w:val="single"/>
              </w:rPr>
              <w:t xml:space="preserve">запрет</w:t>
            </w:r>
            <w:r>
              <w:rPr>
                <w:rFonts w:eastAsia="Calibri"/>
                <w:sz w:val="20"/>
                <w:szCs w:val="20"/>
                <w:highlight w:val="white"/>
              </w:rPr>
              <w:t xml:space="preserve">, содержится в составе части </w:t>
            </w:r>
            <w:r>
              <w:rPr>
                <w:rFonts w:eastAsia="Calibri"/>
                <w:sz w:val="20"/>
                <w:szCs w:val="20"/>
                <w:highlight w:val="white"/>
                <w:lang w:val="en-US"/>
              </w:rPr>
              <w:t xml:space="preserve">V</w:t>
            </w:r>
            <w:r>
              <w:rPr>
                <w:rFonts w:eastAsia="Calibri"/>
                <w:sz w:val="20"/>
                <w:szCs w:val="20"/>
                <w:highlight w:val="white"/>
              </w:rPr>
              <w:t xml:space="preserve">«ТЕХНИЧЕСКАЯ ЧАСТЬ».</w:t>
            </w:r>
            <w:r>
              <w:rPr>
                <w:rFonts w:eastAsia="Calibri"/>
                <w:sz w:val="20"/>
                <w:szCs w:val="20"/>
                <w:highlight w:val="white"/>
              </w:rPr>
            </w:r>
            <w:r>
              <w:rPr>
                <w:rFonts w:eastAsia="Calibri"/>
                <w:sz w:val="20"/>
                <w:szCs w:val="20"/>
                <w:highlight w:val="white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rFonts w:eastAsia="Calibri"/>
                <w:sz w:val="20"/>
                <w:szCs w:val="20"/>
                <w:highlight w:val="white"/>
              </w:rPr>
            </w:pPr>
            <w:r>
              <w:rPr>
                <w:rFonts w:eastAsia="Calibri"/>
                <w:sz w:val="20"/>
                <w:szCs w:val="20"/>
                <w:highlight w:val="white"/>
              </w:rPr>
              <w:t xml:space="preserve">В случае предложения участником товаров иностранного происхождения по тем позициям части </w:t>
            </w:r>
            <w:r>
              <w:rPr>
                <w:rFonts w:eastAsia="Calibri"/>
                <w:sz w:val="20"/>
                <w:szCs w:val="20"/>
                <w:highlight w:val="white"/>
                <w:lang w:val="en-US"/>
              </w:rPr>
              <w:t xml:space="preserve">V</w:t>
            </w:r>
            <w:r>
              <w:rPr>
                <w:rFonts w:eastAsia="Calibri"/>
                <w:sz w:val="20"/>
                <w:szCs w:val="20"/>
                <w:highlight w:val="white"/>
              </w:rPr>
              <w:t xml:space="preserve">«ТЕХНИЧЕСКАЯ ЧАСТЬ», на которые распространяется </w:t>
            </w:r>
            <w:r>
              <w:rPr>
                <w:rFonts w:eastAsia="Calibri"/>
                <w:b/>
                <w:bCs/>
                <w:sz w:val="20"/>
                <w:szCs w:val="20"/>
                <w:highlight w:val="white"/>
                <w:u w:val="single"/>
              </w:rPr>
              <w:t xml:space="preserve">запрет</w:t>
            </w:r>
            <w:r>
              <w:rPr>
                <w:rFonts w:eastAsia="Calibri"/>
                <w:sz w:val="20"/>
                <w:szCs w:val="20"/>
                <w:highlight w:val="white"/>
              </w:rPr>
              <w:t xml:space="preserve">, </w:t>
            </w:r>
            <w:r>
              <w:rPr>
                <w:rFonts w:eastAsia="Calibri"/>
                <w:b/>
                <w:bCs/>
                <w:sz w:val="20"/>
                <w:szCs w:val="20"/>
                <w:highlight w:val="white"/>
              </w:rPr>
              <w:t xml:space="preserve">заявка такого участника подлежит отклонению</w:t>
            </w:r>
            <w:r>
              <w:rPr>
                <w:rFonts w:eastAsia="Calibri"/>
                <w:sz w:val="20"/>
                <w:szCs w:val="20"/>
                <w:highlight w:val="white"/>
              </w:rPr>
              <w:t xml:space="preserve">.</w:t>
            </w:r>
            <w:r>
              <w:rPr>
                <w:rFonts w:eastAsia="Calibri"/>
                <w:sz w:val="20"/>
                <w:szCs w:val="20"/>
                <w:highlight w:val="white"/>
              </w:rPr>
            </w:r>
            <w:r>
              <w:rPr>
                <w:rFonts w:eastAsia="Calibri"/>
                <w:sz w:val="20"/>
                <w:szCs w:val="20"/>
                <w:highlight w:val="white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i/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5733" w:type="dxa"/>
            <w:vMerge w:val="restar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1. </w:t>
            </w:r>
            <w:r>
              <w:rPr>
                <w:b/>
                <w:bCs/>
                <w:sz w:val="20"/>
                <w:szCs w:val="20"/>
                <w:highlight w:val="white"/>
                <w:u w:val="single"/>
              </w:rPr>
              <w:t xml:space="preserve">В случае предложения к поставке товаров российского происхождения</w:t>
            </w:r>
            <w:r>
              <w:rPr>
                <w:sz w:val="20"/>
                <w:szCs w:val="20"/>
                <w:highlight w:val="white"/>
              </w:rPr>
              <w:t xml:space="preserve"> - сведения указываются участником в составе </w:t>
            </w:r>
            <w:r>
              <w:rPr>
                <w:rFonts w:eastAsia="Calibri"/>
                <w:sz w:val="20"/>
                <w:szCs w:val="20"/>
                <w:highlight w:val="white"/>
                <w:lang w:eastAsia="ar-SA"/>
              </w:rPr>
              <w:t xml:space="preserve">сведений о наименовании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</w:t>
            </w:r>
            <w:r>
              <w:rPr>
                <w:rFonts w:eastAsia="Calibri"/>
                <w:sz w:val="20"/>
                <w:szCs w:val="20"/>
                <w:highlight w:val="white"/>
              </w:rPr>
              <w:t xml:space="preserve">информации, определенной в соответствии с пунктом 2 части 2 статьи 3.1-4 настояще</w:t>
            </w:r>
            <w:r>
              <w:rPr>
                <w:rFonts w:eastAsia="Calibri"/>
                <w:sz w:val="20"/>
                <w:szCs w:val="20"/>
                <w:highlight w:val="white"/>
                <w:lang w:eastAsia="ar-SA"/>
              </w:rPr>
              <w:t xml:space="preserve">го Закона 223-ФЗ</w:t>
            </w:r>
            <w:r>
              <w:rPr>
                <w:sz w:val="20"/>
                <w:szCs w:val="20"/>
                <w:highlight w:val="white"/>
              </w:rPr>
              <w:t xml:space="preserve"> – ст. «Номер реестровой записи товара».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b/>
                <w:bCs/>
                <w:sz w:val="20"/>
                <w:szCs w:val="20"/>
                <w:highlight w:val="white"/>
                <w:u w:val="single"/>
              </w:rPr>
              <w:t xml:space="preserve">В случае предложения к поставке товаров из ЕАЭС (кроме Российской Федерации)</w:t>
            </w:r>
            <w:r>
              <w:rPr>
                <w:sz w:val="20"/>
                <w:szCs w:val="20"/>
                <w:highlight w:val="white"/>
              </w:rPr>
              <w:t xml:space="preserve"> – в составе заявки предоставляется сертификат о происхождении товара, выданный уполномоченным органом </w:t>
            </w:r>
            <w:r>
              <w:rPr>
                <w:sz w:val="20"/>
                <w:szCs w:val="20"/>
                <w:highlight w:val="white"/>
              </w:rPr>
              <w:t xml:space="preserve">(организацией) государства - члена ЕАЭС по форме, установленной Правилами определения страны происхождения товаров, и в соответствии с критериями определения страны происхождения товаров, предусмотренными Правилами определения страны происхождения товаров.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2. Справка, подтверждающая наличие специального инвестиционного контракта и предусмотренная пунктом 1(1) ПП № 719 (</w:t>
            </w:r>
            <w:r>
              <w:rPr>
                <w:sz w:val="20"/>
                <w:szCs w:val="20"/>
                <w:highlight w:val="white"/>
                <w:u w:val="single"/>
              </w:rPr>
              <w:t xml:space="preserve">при наличии специального инвестиционного контракта</w:t>
            </w:r>
            <w:r>
              <w:rPr>
                <w:sz w:val="20"/>
                <w:szCs w:val="20"/>
                <w:highlight w:val="white"/>
              </w:rPr>
              <w:t xml:space="preserve">).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5"/>
        </w:trPr>
        <w:tc>
          <w:tcPr>
            <w:tcW w:w="539" w:type="dxa"/>
            <w:textDirection w:val="lrTb"/>
            <w:noWrap w:val="false"/>
          </w:tcPr>
          <w:p>
            <w:pPr>
              <w:ind w:left="113" w:right="34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9666" w:type="dxa"/>
            <w:textDirection w:val="lrTb"/>
            <w:noWrap w:val="false"/>
          </w:tcPr>
          <w:p>
            <w:pPr>
              <w:spacing w:after="0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ar-SA"/>
              </w:rPr>
              <w:t xml:space="preserve">Информацию и документы, подлежащие представлению в заявке на участие в такой закупке для осуществления ее оценки (отсутствие указанных информации и документов не является основанием для отклонения заявки):</w:t>
            </w:r>
            <w:r>
              <w:rPr>
                <w:b/>
                <w:bCs/>
                <w:sz w:val="20"/>
                <w:szCs w:val="20"/>
                <w:lang w:eastAsia="ar-SA"/>
              </w:rPr>
            </w:r>
            <w:r>
              <w:rPr>
                <w:b/>
                <w:bCs/>
                <w:sz w:val="20"/>
                <w:szCs w:val="20"/>
                <w:lang w:eastAsia="ar-SA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4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bCs/>
                <w:color w:val="000000" w:themeColor="text1"/>
                <w:sz w:val="20"/>
                <w:szCs w:val="22"/>
                <w:lang w:eastAsia="ar-SA"/>
              </w:rPr>
            </w:pPr>
            <w:r>
              <w:rPr>
                <w:bCs/>
                <w:color w:val="000000" w:themeColor="text1"/>
                <w:sz w:val="20"/>
                <w:szCs w:val="22"/>
                <w:lang w:eastAsia="ar-SA"/>
              </w:rPr>
            </w:r>
            <w:r>
              <w:rPr>
                <w:bCs/>
                <w:color w:val="000000" w:themeColor="text1"/>
                <w:sz w:val="20"/>
                <w:szCs w:val="22"/>
                <w:lang w:eastAsia="ar-SA"/>
              </w:rPr>
            </w:r>
            <w:r>
              <w:rPr>
                <w:bCs/>
                <w:color w:val="000000" w:themeColor="text1"/>
                <w:sz w:val="20"/>
                <w:szCs w:val="22"/>
                <w:lang w:eastAsia="ar-SA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widowControl w:val="off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Документы, подлежащие представлению в заявке на участие в закупке, для осуществления ее оценки по критерию "Наличие аттестации оборудования, материалов и систем, рекомендованных для применения на объектах ДЗО ПАО «Россети" </w:t>
            </w:r>
            <w:r>
              <w:rPr>
                <w:rFonts w:eastAsia="Calibri"/>
                <w:bCs/>
                <w:sz w:val="20"/>
                <w:szCs w:val="20"/>
              </w:rPr>
            </w:r>
            <w:r>
              <w:rPr>
                <w:rFonts w:eastAsia="Calibri"/>
                <w:bCs/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widowControl w:val="off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Заключения аттестационной комиссии ПАО «Россети» (в том числе полнотекстовая</w:t>
            </w:r>
            <w:r>
              <w:rPr>
                <w:rFonts w:eastAsia="Calibri"/>
                <w:bCs/>
                <w:sz w:val="20"/>
                <w:szCs w:val="20"/>
              </w:rPr>
              <w:t xml:space="preserve"> версия) на весь перечень предлагаемой продукции, действующего на плановую даты подведения итогов по закупке, указанную в настоящей документации о закупки, при наличии подтверждающей информации на сайте: http://www.rosseti.ru/investment/science/attestation</w:t>
            </w:r>
            <w:r>
              <w:rPr>
                <w:rFonts w:eastAsia="Calibri"/>
                <w:bCs/>
                <w:sz w:val="20"/>
                <w:szCs w:val="20"/>
              </w:rPr>
              <w:br/>
              <w:t xml:space="preserve">(отсутствие указанных документов не является основанием для отклонения заявки)</w:t>
            </w:r>
            <w:r>
              <w:rPr>
                <w:rFonts w:eastAsia="Calibri"/>
                <w:bCs/>
                <w:sz w:val="20"/>
                <w:szCs w:val="20"/>
              </w:rPr>
            </w:r>
            <w:r>
              <w:rPr>
                <w:rFonts w:eastAsia="Calibri"/>
                <w:bCs/>
                <w:sz w:val="20"/>
                <w:szCs w:val="20"/>
              </w:rPr>
            </w:r>
          </w:p>
        </w:tc>
      </w:tr>
    </w:tbl>
    <w:p>
      <w:pPr>
        <w:ind w:right="34" w:firstLine="709"/>
        <w:spacing w:after="0"/>
        <w:widowControl w:val="off"/>
        <w:rPr>
          <w:i/>
          <w:sz w:val="20"/>
          <w:szCs w:val="20"/>
        </w:rPr>
      </w:pPr>
      <w:r>
        <w:rPr>
          <w:i/>
          <w:sz w:val="20"/>
          <w:szCs w:val="20"/>
        </w:rPr>
      </w:r>
      <w:r>
        <w:rPr>
          <w:i/>
          <w:sz w:val="20"/>
          <w:szCs w:val="20"/>
        </w:rPr>
      </w:r>
      <w:r>
        <w:rPr>
          <w:i/>
          <w:sz w:val="20"/>
          <w:szCs w:val="20"/>
        </w:rPr>
      </w:r>
    </w:p>
    <w:p>
      <w:pPr>
        <w:pStyle w:val="1154"/>
        <w:jc w:val="both"/>
        <w:widowControl w:val="off"/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Участник закупки должен включить </w:t>
      </w:r>
      <w:r>
        <w:rPr>
          <w:rFonts w:ascii="Times New Roman" w:hAnsi="Times New Roman" w:cs="Times New Roman"/>
          <w:caps/>
          <w:color w:val="auto"/>
          <w:sz w:val="24"/>
          <w:szCs w:val="24"/>
        </w:rPr>
        <w:t xml:space="preserve">в состав ценового предложения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 следующую ИНФОРМАЦИЮ и документы: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r>
    </w:p>
    <w:tbl>
      <w:tblPr>
        <w:tblW w:w="5000" w:type="pct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3921"/>
        <w:gridCol w:w="5716"/>
      </w:tblGrid>
      <w:tr>
        <w:tblPrEx/>
        <w:trPr>
          <w:trHeight w:val="735"/>
          <w:tblHeader/>
        </w:trPr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264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1927" w:type="pct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Требование к участнику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2809" w:type="pct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Наименование документа, подтверждающего его соответствие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5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предложения о цене договора (цене лота, единицы товара, работы, услуги).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Стоимость, указанная участником в сводной таблице стоимости поставок, работ (услуг), должна соответствовать стоимости, указанной участником на ЭП.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Частичное выполнение работ/услуг/поставок не допускается.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Предложение участника не должно превышать единичные расценки какой-либо номенклатурной позиции в сравнении с соответствующей плановой ценой, указанной в составе </w:t>
            </w:r>
            <w:r>
              <w:rPr>
                <w:rFonts w:eastAsia="Calibri"/>
                <w:b/>
                <w:bCs/>
                <w:sz w:val="20"/>
                <w:szCs w:val="20"/>
                <w:lang w:eastAsia="ar-SA"/>
              </w:rPr>
              <w:t xml:space="preserve">части V «ТЕХНИЧЕСКАЯ ЧАСТЬ».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Сводная таблица стоимости поставок, работ (услуг) (по установленной форме в соответствии с приложением).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pStyle w:val="1126"/>
        <w:contextualSpacing/>
        <w:ind w:left="0"/>
        <w:jc w:val="both"/>
        <w:widowControl w:val="off"/>
      </w:pPr>
      <w:r>
        <w:br w:type="page" w:clear="all"/>
      </w:r>
      <w:r/>
    </w:p>
    <w:p>
      <w:pPr>
        <w:pStyle w:val="805"/>
        <w:numPr>
          <w:ilvl w:val="0"/>
          <w:numId w:val="6"/>
        </w:numPr>
        <w:ind w:left="0" w:firstLine="567"/>
        <w:pageBreakBefore/>
        <w:spacing w:before="0" w:after="0"/>
        <w:rPr>
          <w:rStyle w:val="1108"/>
          <w:b/>
          <w:bCs/>
          <w:sz w:val="24"/>
          <w:szCs w:val="24"/>
        </w:rPr>
      </w:pPr>
      <w:r/>
      <w:bookmarkStart w:id="124" w:name="_РАЗДЕЛ_I_4_ОБРАЗЦЫ_ФОРМ_И_ДОКУМЕНТО"/>
      <w:r/>
      <w:bookmarkStart w:id="125" w:name="_Ref119427310"/>
      <w:r/>
      <w:bookmarkStart w:id="126" w:name="_Ref166101288"/>
      <w:r/>
      <w:bookmarkStart w:id="127" w:name="_Ref166101291"/>
      <w:r/>
      <w:bookmarkStart w:id="128" w:name="_Ref166158276"/>
      <w:r/>
      <w:bookmarkStart w:id="129" w:name="_Ref166158279"/>
      <w:r/>
      <w:bookmarkStart w:id="130" w:name="_Ref166329210"/>
      <w:r/>
      <w:bookmarkStart w:id="131" w:name="_Ref166329212"/>
      <w:r/>
      <w:bookmarkStart w:id="132" w:name="_Ref166329217"/>
      <w:r/>
      <w:bookmarkStart w:id="133" w:name="_Toc48"/>
      <w:r/>
      <w:bookmarkEnd w:id="124"/>
      <w:r>
        <w:rPr>
          <w:rStyle w:val="1108"/>
          <w:b/>
          <w:bCs/>
          <w:sz w:val="24"/>
          <w:szCs w:val="24"/>
        </w:rPr>
        <w:t xml:space="preserve">ОБРАЗЦЫ ФОРМ ДЛЯ ЗАПОЛНЕНИЯ УЧАСТНИКАМИ ЗАКУПКИ</w:t>
      </w:r>
      <w:bookmarkEnd w:id="125"/>
      <w:r/>
      <w:bookmarkEnd w:id="126"/>
      <w:r/>
      <w:bookmarkEnd w:id="127"/>
      <w:r/>
      <w:bookmarkEnd w:id="128"/>
      <w:r/>
      <w:bookmarkEnd w:id="129"/>
      <w:r/>
      <w:bookmarkEnd w:id="130"/>
      <w:r/>
      <w:bookmarkEnd w:id="131"/>
      <w:r/>
      <w:bookmarkEnd w:id="132"/>
      <w:r/>
      <w:bookmarkEnd w:id="133"/>
      <w:r>
        <w:rPr>
          <w:rStyle w:val="1108"/>
          <w:b/>
          <w:bCs/>
          <w:sz w:val="24"/>
          <w:szCs w:val="24"/>
        </w:rPr>
      </w:r>
      <w:r>
        <w:rPr>
          <w:rStyle w:val="1108"/>
          <w:b/>
          <w:bCs/>
          <w:sz w:val="24"/>
          <w:szCs w:val="24"/>
        </w:rPr>
      </w:r>
    </w:p>
    <w:p>
      <w:r/>
      <w:r/>
    </w:p>
    <w:p>
      <w:pPr>
        <w:pStyle w:val="806"/>
        <w:ind w:left="0" w:firstLine="0"/>
        <w:keepNext w:val="0"/>
        <w:spacing w:after="0"/>
        <w:widowControl w:val="off"/>
        <w:tabs>
          <w:tab w:val="clear" w:pos="576" w:leader="none"/>
        </w:tabs>
        <w:rPr>
          <w:sz w:val="24"/>
          <w:szCs w:val="24"/>
        </w:rPr>
      </w:pPr>
      <w:r/>
      <w:bookmarkStart w:id="134" w:name="_Toc49"/>
      <w:r/>
      <w:bookmarkStart w:id="135" w:name="_Ref166329160"/>
      <w:r/>
      <w:bookmarkStart w:id="136" w:name="_Ref166329169"/>
      <w:r/>
      <w:bookmarkStart w:id="137" w:name="_Ref166487238"/>
      <w:r/>
      <w:bookmarkStart w:id="138" w:name="_Ref166487244"/>
      <w:r/>
      <w:bookmarkStart w:id="139" w:name="_Ref166487316"/>
      <w:r>
        <w:rPr>
          <w:sz w:val="24"/>
          <w:szCs w:val="24"/>
        </w:rPr>
        <w:t xml:space="preserve">ФОРМА 1. ТЕХНИЧЕСКОЕ ПРЕДЛОЖЕНИЕ</w:t>
      </w:r>
      <w:bookmarkEnd w:id="13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widowControl w:val="off"/>
      </w:pPr>
      <w:r>
        <w:t xml:space="preserve">(представляется в составе </w:t>
      </w:r>
      <w:r>
        <w:rPr>
          <w:u w:val="single"/>
        </w:rPr>
        <w:t xml:space="preserve">ПЕРВОЙ части заявки</w:t>
      </w:r>
      <w:r>
        <w:t xml:space="preserve">)</w:t>
      </w:r>
      <w:r/>
    </w:p>
    <w:p>
      <w:pPr>
        <w:jc w:val="center"/>
        <w:widowControl w:val="off"/>
        <w:tabs>
          <w:tab w:val="num" w:pos="1134" w:leader="none"/>
        </w:tabs>
        <w:rPr>
          <w:b/>
        </w:rPr>
        <w:outlineLvl w:val="1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tabs>
          <w:tab w:val="num" w:pos="1134" w:leader="none"/>
        </w:tabs>
        <w:rPr>
          <w:b/>
        </w:rPr>
        <w:outlineLvl w:val="1"/>
      </w:pPr>
      <w:r/>
      <w:bookmarkStart w:id="140" w:name="_Toc50"/>
      <w:r>
        <w:rPr>
          <w:b/>
        </w:rPr>
        <w:t xml:space="preserve">Техническое предложение</w:t>
      </w:r>
      <w:bookmarkEnd w:id="140"/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540"/>
        <w:widowControl w:val="off"/>
        <w:tabs>
          <w:tab w:val="left" w:pos="1080" w:leader="none"/>
        </w:tabs>
        <w:rPr>
          <w:b/>
        </w:rPr>
      </w:pPr>
      <w:r>
        <w:rPr>
          <w:b/>
        </w:rPr>
        <w:t xml:space="preserve">Способ и наименование закупки _______________________________________ </w:t>
      </w:r>
      <w:r>
        <w:rPr>
          <w:b/>
        </w:rPr>
      </w:r>
      <w:r>
        <w:rPr>
          <w:b/>
        </w:rPr>
      </w:r>
    </w:p>
    <w:p>
      <w:pPr>
        <w:ind w:firstLine="540"/>
        <w:widowControl w:val="off"/>
        <w:tabs>
          <w:tab w:val="left" w:pos="1080" w:leader="none"/>
        </w:tabs>
      </w:pPr>
      <w:r/>
      <w:r/>
    </w:p>
    <w:p>
      <w:pPr>
        <w:ind w:firstLine="540"/>
        <w:widowControl w:val="off"/>
        <w:tabs>
          <w:tab w:val="left" w:pos="1080" w:leader="none"/>
        </w:tabs>
      </w:pPr>
      <w:r/>
      <w:r/>
    </w:p>
    <w:p>
      <w:pPr>
        <w:ind w:firstLine="540"/>
        <w:jc w:val="center"/>
        <w:widowControl w:val="off"/>
        <w:tabs>
          <w:tab w:val="left" w:pos="1080" w:leader="none"/>
        </w:tabs>
        <w:rPr>
          <w:b/>
          <w:i/>
        </w:rPr>
      </w:pPr>
      <w:r>
        <w:rPr>
          <w:b/>
          <w:i/>
        </w:rPr>
        <w:t xml:space="preserve">Суть технического предложения</w:t>
      </w:r>
      <w:r>
        <w:rPr>
          <w:b/>
          <w:i/>
        </w:rPr>
      </w:r>
      <w:r>
        <w:rPr>
          <w:b/>
          <w:i/>
        </w:rPr>
      </w:r>
    </w:p>
    <w:p>
      <w:pPr>
        <w:ind w:firstLine="540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Данные инструкции не следует воспроизводить в документах, подготовленных Участником.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Выше приведена форма титульного листа Технического предложения.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В тексте Технического предложения приводится информация в объеме, достаточном для анализа выполнения всех требований части IV «ПРОЕКТ ДОГОВОРА» и части V «ТЕХНИЧЕСКАЯ ЧАСТЬ».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ЦЕНОВОЕ ПРЕДЛОЖЕНИЕ И СВЕДЕНИЯ ОБ УЧАСТНИКЕ В СОСТАВЕ ПЕРВОЙ ЧАСТИ ЗАЯВКИ НЕ УКАЗЫВАЮТСЯ.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shd w:val="clear" w:color="ffffff" w:themeColor="background1" w:fill="ffffff" w:themeFill="background1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Техническое предложение Участника закупки, поми</w:t>
      </w:r>
      <w:r>
        <w:rPr>
          <w:sz w:val="20"/>
          <w:szCs w:val="20"/>
        </w:rPr>
        <w:t xml:space="preserve">мо материалов, указанных в тексте технических требований, должно включать, в зависимости от предмета закупки: описание всех предлагаемых технических решений, описание характеристик систем с необходимыми чертежами, порядок оказания услуг по договору и т.п.;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shd w:val="clear" w:color="ffffff" w:themeColor="background1" w:fill="ffffff" w:themeFill="background1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Участник в Техническом предложении должен представить таблицу соответствия своего предложения требованиям части V «ТЕХНИЧЕСКАЯ ЧАСТЬ» в соответствии с приведенной формой:</w:t>
      </w:r>
      <w:r>
        <w:rPr>
          <w:sz w:val="20"/>
          <w:szCs w:val="20"/>
        </w:rPr>
      </w:r>
      <w:r>
        <w:rPr>
          <w:sz w:val="20"/>
          <w:szCs w:val="20"/>
        </w:rPr>
      </w: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816"/>
        <w:gridCol w:w="2146"/>
        <w:gridCol w:w="578"/>
        <w:gridCol w:w="2124"/>
        <w:gridCol w:w="2412"/>
        <w:gridCol w:w="768"/>
        <w:gridCol w:w="1351"/>
      </w:tblGrid>
      <w:tr>
        <w:tblPrEx/>
        <w:trPr>
          <w:jc w:val="center"/>
          <w:trHeight w:val="392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727" w:type="dxa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№ п.п. </w:t>
            </w:r>
            <w:r>
              <w:rPr>
                <w:sz w:val="20"/>
                <w:szCs w:val="20"/>
                <w:highlight w:val="yellow"/>
              </w:rPr>
              <w:t xml:space="preserve">документов части V «ТЕХНИЧЕСКАЯ ЧАСТЬ»</w:t>
            </w: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1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Пояснения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1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Ссылки на ПУ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jc w:val="center"/>
          <w:trHeight w:val="245"/>
        </w:trPr>
        <w:tc>
          <w:tcPr>
            <w:tcBorders>
              <w:left w:val="single" w:color="000000" w:sz="4" w:space="0"/>
              <w:bottom w:val="single" w:color="000000" w:sz="4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</w:tcBorders>
            <w:tcW w:w="2727" w:type="dxa"/>
            <w:vAlign w:val="center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2415" w:type="dxa"/>
            <w:vAlign w:val="center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1" w:type="dxa"/>
            <w:vAlign w:val="center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порядковый номер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п.п. </w:t>
            </w:r>
            <w:r>
              <w:rPr>
                <w:sz w:val="20"/>
                <w:szCs w:val="20"/>
                <w:highlight w:val="yellow"/>
              </w:rPr>
              <w:t xml:space="preserve">документов части V «ТЕХНИЧЕСКАЯ ЧАСТЬ»: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номер пункта </w:t>
            </w:r>
            <w:r>
              <w:rPr>
                <w:sz w:val="20"/>
                <w:szCs w:val="20"/>
                <w:highlight w:val="yellow"/>
              </w:rPr>
              <w:t xml:space="preserve">документов части V «ТЕХНИЧЕСКАЯ ЧАСТЬ» (технического задания и т.п.). В случае, если в документе отсутствует нумерация/пункты, указывается название такого документа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"да" - будет выполнен полностью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"нет" - не будет выполнен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"частично" – выполняется с "такими-то" ограничениями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Пояснения: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необходимые пояснения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Ссылки на ПУ: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left="459" w:firstLine="81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номер пункта материалов Предложений Участника (ПУ), где приведены подробные объяснения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ind w:firstLine="540"/>
        <w:shd w:val="clear" w:color="ffffff" w:themeColor="background1" w:fill="ffffff" w:themeFill="background1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Для предлагаемого оборудования и/или пред</w:t>
      </w:r>
      <w:r>
        <w:rPr>
          <w:sz w:val="20"/>
          <w:szCs w:val="20"/>
        </w:rPr>
        <w:t xml:space="preserve">лагаемых материалов и/или предлагаемой продукции (если техническим заданием предусмотрена поставка оборудования и/или материалов и/или продукции) таблицы технических требований, установленных в части V «ТЕХНИЧЕСКАЯ ЧАСТЬ», предоставляются в следующем виде:</w:t>
      </w:r>
      <w:r>
        <w:rPr>
          <w:sz w:val="20"/>
          <w:szCs w:val="20"/>
        </w:rPr>
      </w:r>
      <w:r>
        <w:rPr>
          <w:sz w:val="20"/>
          <w:szCs w:val="20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ook w:val="0000" w:firstRow="0" w:lastRow="0" w:firstColumn="0" w:lastColumn="0" w:noHBand="0" w:noVBand="0"/>
      </w:tblPr>
      <w:tblGrid>
        <w:gridCol w:w="1062"/>
        <w:gridCol w:w="5312"/>
        <w:gridCol w:w="1813"/>
        <w:gridCol w:w="2008"/>
      </w:tblGrid>
      <w:tr>
        <w:tblPrEx/>
        <w:trPr/>
        <w:tc>
          <w:tcPr>
            <w:tcBorders>
              <w:top w:val="single" w:color="auto" w:sz="4" w:space="0"/>
            </w:tcBorders>
            <w:tcW w:w="521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п/п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</w:tcBorders>
            <w:tcW w:w="2605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параметра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</w:tcBorders>
            <w:tcW w:w="889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Требуемое значение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</w:tcBorders>
            <w:tcW w:w="985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Предлагаемое Участником закупки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71"/>
        </w:trPr>
        <w:tc>
          <w:tcPr>
            <w:tcW w:w="521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60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89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8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198"/>
        </w:trPr>
        <w:tc>
          <w:tcPr>
            <w:tcBorders>
              <w:bottom w:val="single" w:color="auto" w:sz="4" w:space="0"/>
            </w:tcBorders>
            <w:tcW w:w="521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auto" w:sz="4" w:space="0"/>
            </w:tcBorders>
            <w:tcW w:w="260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auto" w:sz="4" w:space="0"/>
            </w:tcBorders>
            <w:tcW w:w="889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auto" w:sz="4" w:space="0"/>
            </w:tcBorders>
            <w:tcW w:w="98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</w:pPr>
      <w:r>
        <w:rPr>
          <w:sz w:val="20"/>
          <w:szCs w:val="20"/>
        </w:rPr>
        <w:t xml:space="preserve">Если Заказчик устанавливает одно из условий: «не более», «не менее», «не ниже», то Участник закупки должен конкретизировать данный параметр без применения вышеуказанных условий или слов.</w:t>
      </w:r>
      <w:r/>
    </w:p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</w:pPr>
      <w:r>
        <w:rPr>
          <w:sz w:val="20"/>
          <w:szCs w:val="20"/>
        </w:rPr>
        <w:t xml:space="preserve">Участник к Техническому предложению должен приложить файл технического предложения, выполненный в формате MS Word.</w:t>
      </w:r>
      <w:r>
        <w:rPr>
          <w:sz w:val="20"/>
          <w:szCs w:val="20"/>
        </w:rPr>
        <w:br w:type="page" w:clear="all"/>
      </w:r>
      <w:r/>
    </w:p>
    <w:p>
      <w:pPr>
        <w:pStyle w:val="806"/>
        <w:ind w:left="0" w:firstLine="0"/>
        <w:tabs>
          <w:tab w:val="num" w:pos="0" w:leader="none"/>
          <w:tab w:val="clear" w:pos="576" w:leader="none"/>
        </w:tabs>
        <w:rPr>
          <w:sz w:val="24"/>
          <w:szCs w:val="24"/>
        </w:rPr>
      </w:pPr>
      <w:r/>
      <w:bookmarkStart w:id="141" w:name="_Ref166329536"/>
      <w:r/>
      <w:bookmarkStart w:id="142" w:name="_Toc53"/>
      <w:r/>
      <w:bookmarkEnd w:id="135"/>
      <w:r/>
      <w:bookmarkEnd w:id="136"/>
      <w:r/>
      <w:bookmarkEnd w:id="137"/>
      <w:r/>
      <w:bookmarkEnd w:id="138"/>
      <w:r/>
      <w:bookmarkEnd w:id="139"/>
      <w:r>
        <w:rPr>
          <w:sz w:val="24"/>
          <w:szCs w:val="24"/>
        </w:rPr>
        <w:t xml:space="preserve">ФОРМА 2. </w:t>
      </w:r>
      <w:bookmarkEnd w:id="141"/>
      <w:r>
        <w:rPr>
          <w:sz w:val="24"/>
          <w:szCs w:val="24"/>
        </w:rPr>
        <w:t xml:space="preserve">СВЕДЕНИЯ ОБ УЧАСТНИКЕ ЗАКУПКИ</w:t>
      </w:r>
      <w:bookmarkEnd w:id="14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after="120"/>
      </w:pPr>
      <w:r>
        <w:t xml:space="preserve">(представляется в составе </w:t>
      </w:r>
      <w:r>
        <w:rPr>
          <w:u w:val="single"/>
        </w:rPr>
        <w:t xml:space="preserve">ВТОРОЙ части заявки</w:t>
      </w:r>
      <w:r>
        <w:t xml:space="preserve">)</w:t>
      </w:r>
      <w:r/>
    </w:p>
    <w:p>
      <w:pPr>
        <w:pStyle w:val="1100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об участнике закупки</w:t>
      </w:r>
      <w:r>
        <w:rPr>
          <w:rStyle w:val="1013"/>
          <w:sz w:val="24"/>
          <w:szCs w:val="24"/>
        </w:rPr>
        <w:footnoteReference w:id="2"/>
      </w:r>
      <w:r>
        <w:rPr>
          <w:rFonts w:ascii="Times New Roman" w:hAnsi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6180"/>
        <w:gridCol w:w="4015"/>
      </w:tblGrid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10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юридического лица)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1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10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Фирменное наименование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юридического лица, указывается при наличии):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1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10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в пределах места нахождения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юридического лица):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1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10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Фамилия, имя, отчество (при наличии)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физического лица, если </w:t>
            </w:r>
            <w:r>
              <w:rPr>
                <w:rFonts w:ascii="Times New Roman" w:hAnsi="Times New Roman" w:eastAsia="Arial Unicode MS" w:cs="Times New Roman"/>
                <w:i/>
                <w:sz w:val="22"/>
                <w:szCs w:val="22"/>
              </w:rPr>
              <w:t xml:space="preserve">участником закупки является индивидуальный предприниматель)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1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10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Паспортные данные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физического лица, если </w:t>
            </w:r>
            <w:r>
              <w:rPr>
                <w:rFonts w:ascii="Times New Roman" w:hAnsi="Times New Roman" w:eastAsia="Arial Unicode MS" w:cs="Times New Roman"/>
                <w:i/>
                <w:sz w:val="22"/>
                <w:szCs w:val="22"/>
              </w:rPr>
              <w:t xml:space="preserve">участником закупки является индивидуальный предприниматель)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1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10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места жительства физического лица, зарегистрированного в качестве индивидуального предпринимательства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физического лица, если </w:t>
            </w:r>
            <w:r>
              <w:rPr>
                <w:rFonts w:ascii="Times New Roman" w:hAnsi="Times New Roman" w:eastAsia="Arial Unicode MS" w:cs="Times New Roman"/>
                <w:i/>
                <w:sz w:val="22"/>
                <w:szCs w:val="22"/>
              </w:rPr>
              <w:t xml:space="preserve">участником закупки является индивидуальный предприниматель)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1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10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Идентификационный номер налогоплательщика – участника закупки (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в случае если участником закупки является иностранное лицо,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):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1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10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Идентификационный номер налогоплательщика (при наличии) учредителей, членов коллегиального исполнительного органа, лица, исполняющего функции единоличного исполнительного органа участника закупки (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в случае если участником закупки является иностранное лицо,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(для юридического лица):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1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pPr>
        <w:ind w:firstLine="540"/>
        <w:tabs>
          <w:tab w:val="left" w:pos="1080" w:leader="none"/>
        </w:tabs>
      </w:pPr>
      <w:r/>
      <w:r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860"/>
        <w:gridCol w:w="5245"/>
      </w:tblGrid>
      <w:tr>
        <w:tblPrEx/>
        <w:trPr/>
        <w:tc>
          <w:tcPr>
            <w:tcBorders>
              <w:bottom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auto" w:sz="4" w:space="0"/>
            </w:tcBorders>
            <w:tcW w:w="5245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(подпись уполномоченного представителя)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</w:tcBorders>
            <w:tcW w:w="5245" w:type="dxa"/>
            <w:textDirection w:val="lrTb"/>
            <w:noWrap w:val="false"/>
          </w:tcPr>
          <w:p>
            <w:pPr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(фамилия, имя, отчество подписавшего, должность)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ind w:firstLine="540"/>
        <w:tabs>
          <w:tab w:val="left" w:pos="1080" w:leader="none"/>
        </w:tabs>
      </w:pPr>
      <w:r/>
      <w:r/>
    </w:p>
    <w:p>
      <w:pPr>
        <w:ind w:firstLine="540"/>
        <w:tabs>
          <w:tab w:val="left" w:pos="1080" w:leader="none"/>
        </w:tabs>
        <w:rPr>
          <w:b/>
        </w:rPr>
      </w:pPr>
      <w:r>
        <w:rPr>
          <w:b/>
        </w:rPr>
        <w:t xml:space="preserve">М.П.</w:t>
      </w:r>
      <w:r>
        <w:rPr>
          <w:b/>
        </w:rPr>
      </w:r>
      <w:r>
        <w:rPr>
          <w:b/>
        </w:rPr>
      </w:r>
    </w:p>
    <w:p>
      <w:pPr>
        <w:ind w:firstLine="540"/>
        <w:tabs>
          <w:tab w:val="left" w:pos="1080" w:leader="none"/>
        </w:tabs>
      </w:pPr>
      <w:r/>
      <w:r/>
    </w:p>
    <w:p>
      <w:pPr>
        <w:ind w:firstLine="540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numPr>
          <w:ilvl w:val="0"/>
          <w:numId w:val="20"/>
        </w:numPr>
        <w:ind w:left="0" w:firstLine="600"/>
        <w:spacing w:after="0"/>
        <w:tabs>
          <w:tab w:val="num" w:pos="0" w:leader="none"/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Данные инструкции не следует воспроизводить в документах, подготовленных Участником закупки.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20"/>
        </w:numPr>
        <w:ind w:left="0" w:firstLine="600"/>
        <w:spacing w:after="0"/>
        <w:tabs>
          <w:tab w:val="num" w:pos="0" w:leader="none"/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Сведения должны быть подписаны и скреплены печатью (при наличии печати) в соответствии с требованиями документации о закупке, если Участником закупки является юридическое лицо, индивидуальный предприниматель. Если Участником закупки яв</w:t>
      </w:r>
      <w:r>
        <w:rPr>
          <w:sz w:val="20"/>
          <w:szCs w:val="20"/>
        </w:rPr>
        <w:t xml:space="preserve">ляется физическое лицо – он подписывается собственноручно таким Участником. Такое требование по подписанию всех приложений распространяется на все приложения, оформляемые Участником закупки (кроме документов, предоставляемых в составе первой части заявки).</w:t>
      </w:r>
      <w:r>
        <w:br w:type="page" w:clear="all"/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06"/>
        <w:ind w:left="0" w:firstLine="0"/>
        <w:tabs>
          <w:tab w:val="clear" w:pos="576" w:leader="none"/>
        </w:tabs>
        <w:rPr>
          <w:sz w:val="24"/>
          <w:szCs w:val="24"/>
        </w:rPr>
      </w:pPr>
      <w:r/>
      <w:bookmarkStart w:id="143" w:name="_Toc54"/>
      <w:r>
        <w:rPr>
          <w:sz w:val="24"/>
          <w:szCs w:val="24"/>
        </w:rPr>
        <w:t xml:space="preserve">ФОРМА 3. </w:t>
      </w:r>
      <w:r>
        <w:rPr>
          <w:sz w:val="24"/>
          <w:szCs w:val="24"/>
          <w:lang w:eastAsia="ar-SA"/>
        </w:rPr>
        <w:t xml:space="preserve">СВЕДЕНИЯ О НАИМЕНОВАНИИ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</w:t>
      </w:r>
      <w:r>
        <w:rPr>
          <w:sz w:val="24"/>
          <w:szCs w:val="24"/>
        </w:rPr>
        <w:t xml:space="preserve">ИНФОРМАЦИЯ, ОПРЕДЕЛЕННАЯ В СООТВЕТСТВИИ С ПУНКТОМ 2 ЧАСТИ 2 СТАТЬИ 3.1-4 НАСТОЯЩЕ</w:t>
      </w:r>
      <w:r>
        <w:rPr>
          <w:sz w:val="24"/>
          <w:szCs w:val="24"/>
          <w:lang w:eastAsia="ar-SA"/>
        </w:rPr>
        <w:t xml:space="preserve">ГО ЗАКОНА 223-ФЗ</w:t>
      </w:r>
      <w:bookmarkEnd w:id="14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after="120"/>
      </w:pPr>
      <w:r>
        <w:t xml:space="preserve">(представляется в составе </w:t>
      </w:r>
      <w:r>
        <w:rPr>
          <w:u w:val="single"/>
        </w:rPr>
        <w:t xml:space="preserve">ВТОРОЙ части заявки</w:t>
      </w:r>
      <w:r>
        <w:t xml:space="preserve">)</w:t>
      </w:r>
      <w:r/>
    </w:p>
    <w:p>
      <w:r/>
      <w:r/>
    </w:p>
    <w:p>
      <w:pPr>
        <w:ind w:firstLine="540"/>
        <w:jc w:val="center"/>
        <w:widowControl w:val="off"/>
        <w:tabs>
          <w:tab w:val="left" w:pos="1080" w:leader="none"/>
        </w:tabs>
        <w:rPr>
          <w:b/>
          <w:bCs/>
        </w:rPr>
      </w:pPr>
      <w:r>
        <w:rPr>
          <w:b/>
          <w:bCs/>
          <w:lang w:eastAsia="ar-SA"/>
        </w:rPr>
        <w:t xml:space="preserve">Сведения о наименовании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</w:t>
      </w:r>
      <w:r>
        <w:rPr>
          <w:b/>
          <w:bCs/>
        </w:rPr>
        <w:t xml:space="preserve">информация, определенная в соответствии с пунктом 2 части 2 статьи 3.1-4 настояще</w:t>
      </w:r>
      <w:r>
        <w:rPr>
          <w:b/>
          <w:bCs/>
          <w:lang w:eastAsia="ar-SA"/>
        </w:rPr>
        <w:t xml:space="preserve">го Закона 223-ФЗ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rPr>
          <w:b/>
          <w:i/>
        </w:rPr>
      </w:pPr>
      <w:r>
        <w:rPr>
          <w:b/>
          <w:i/>
        </w:rPr>
      </w:r>
      <w:r>
        <w:rPr>
          <w:b/>
          <w:i/>
        </w:rPr>
      </w:r>
      <w:r>
        <w:rPr>
          <w:b/>
          <w:i/>
        </w:rPr>
      </w:r>
    </w:p>
    <w:p>
      <w:pPr>
        <w:ind w:firstLine="540"/>
        <w:widowControl w:val="off"/>
        <w:tabs>
          <w:tab w:val="left" w:pos="1080" w:leader="none"/>
        </w:tabs>
        <w:rPr>
          <w:b/>
        </w:rPr>
      </w:pPr>
      <w:r>
        <w:rPr>
          <w:b/>
        </w:rPr>
        <w:t xml:space="preserve">Способ и наименование закупки _______________________________________ </w:t>
      </w:r>
      <w:r>
        <w:rPr>
          <w:b/>
        </w:rPr>
      </w:r>
      <w:r>
        <w:rPr>
          <w:b/>
        </w:rPr>
      </w:r>
    </w:p>
    <w:p>
      <w:r/>
      <w:r/>
    </w:p>
    <w:tbl>
      <w:tblPr>
        <w:tblStyle w:val="1132"/>
        <w:tblW w:w="10201" w:type="dxa"/>
        <w:tblLook w:val="04A0" w:firstRow="1" w:lastRow="0" w:firstColumn="1" w:lastColumn="0" w:noHBand="0" w:noVBand="1"/>
      </w:tblPr>
      <w:tblGrid>
        <w:gridCol w:w="1451"/>
        <w:gridCol w:w="2672"/>
        <w:gridCol w:w="2960"/>
        <w:gridCol w:w="3118"/>
      </w:tblGrid>
      <w:tr>
        <w:tblPrEx/>
        <w:trPr/>
        <w:tc>
          <w:tcPr>
            <w:tcW w:w="1451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№ п/п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2672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Наименование товара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2960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Страна происхождения товара, в том числе поставляемого при выполнении работ, оказании услуг (указывается наименование страны происхождения товара и код по ОКСМ)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Номер реестровой записи товара (в случае предоставления в составе заявки товаров </w:t>
            </w:r>
            <w:r>
              <w:rPr>
                <w:sz w:val="18"/>
                <w:szCs w:val="18"/>
                <w:highlight w:val="white"/>
              </w:rPr>
              <w:t xml:space="preserve">российского/ЕАЭС</w:t>
            </w:r>
            <w:r>
              <w:rPr>
                <w:sz w:val="20"/>
                <w:szCs w:val="20"/>
                <w:highlight w:val="white"/>
              </w:rPr>
              <w:t xml:space="preserve"> происхождения) (указывается номер реестровой записи товара при его наличии)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W w:w="1451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672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960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tcW w:w="1451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672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960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</w:tbl>
    <w:p>
      <w:pPr>
        <w:pStyle w:val="1126"/>
        <w:rPr>
          <w:b/>
          <w:bCs/>
          <w:sz w:val="20"/>
          <w:highlight w:val="white"/>
        </w:rPr>
      </w:pPr>
      <w:r>
        <w:rPr>
          <w:b/>
          <w:bCs/>
          <w:sz w:val="20"/>
          <w:highlight w:val="white"/>
        </w:rPr>
      </w:r>
      <w:r>
        <w:rPr>
          <w:b/>
          <w:bCs/>
          <w:sz w:val="20"/>
          <w:highlight w:val="white"/>
        </w:rPr>
      </w:r>
      <w:r>
        <w:rPr>
          <w:b/>
          <w:bCs/>
          <w:sz w:val="20"/>
          <w:highlight w:val="white"/>
        </w:rPr>
      </w:r>
    </w:p>
    <w:p>
      <w:pPr>
        <w:ind w:firstLine="540"/>
        <w:tabs>
          <w:tab w:val="left" w:pos="1080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860"/>
        <w:gridCol w:w="5245"/>
      </w:tblGrid>
      <w:tr>
        <w:tblPrEx/>
        <w:trPr/>
        <w:tc>
          <w:tcPr>
            <w:tcBorders>
              <w:bottom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8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bottom w:val="single" w:color="auto" w:sz="4" w:space="0"/>
            </w:tcBorders>
            <w:tcW w:w="5245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(подпись уполномоченного представителя)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8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auto" w:sz="4" w:space="0"/>
            </w:tcBorders>
            <w:tcW w:w="5245" w:type="dxa"/>
            <w:textDirection w:val="lrTb"/>
            <w:noWrap w:val="false"/>
          </w:tcPr>
          <w:p>
            <w:pPr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(фамилия, имя, отчество подписавшего, должность)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</w:tbl>
    <w:p>
      <w:pPr>
        <w:ind w:firstLine="540"/>
        <w:tabs>
          <w:tab w:val="left" w:pos="1080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firstLine="540"/>
        <w:tabs>
          <w:tab w:val="left" w:pos="1080" w:leader="none"/>
        </w:tabs>
        <w:rPr>
          <w:b/>
          <w:highlight w:val="white"/>
        </w:rPr>
      </w:pPr>
      <w:r>
        <w:rPr>
          <w:b/>
          <w:highlight w:val="white"/>
        </w:rPr>
        <w:t xml:space="preserve">М.П.</w:t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pStyle w:val="1126"/>
        <w:rPr>
          <w:b/>
          <w:bCs/>
          <w:sz w:val="20"/>
          <w:highlight w:val="white"/>
        </w:rPr>
      </w:pPr>
      <w:r>
        <w:rPr>
          <w:b/>
          <w:bCs/>
          <w:sz w:val="20"/>
          <w:highlight w:val="white"/>
        </w:rPr>
      </w:r>
      <w:r>
        <w:rPr>
          <w:b/>
          <w:bCs/>
          <w:sz w:val="20"/>
          <w:highlight w:val="white"/>
        </w:rPr>
      </w:r>
      <w:r>
        <w:rPr>
          <w:b/>
          <w:bCs/>
          <w:sz w:val="20"/>
          <w:highlight w:val="white"/>
        </w:rPr>
      </w:r>
    </w:p>
    <w:p>
      <w:pPr>
        <w:jc w:val="left"/>
        <w:spacing w:after="0"/>
        <w:rPr>
          <w:b/>
          <w:bCs/>
          <w:sz w:val="20"/>
          <w:highlight w:val="white"/>
        </w:rPr>
      </w:pPr>
      <w:r>
        <w:rPr>
          <w:b/>
          <w:bCs/>
          <w:sz w:val="20"/>
          <w:highlight w:val="white"/>
        </w:rPr>
      </w:r>
      <w:r>
        <w:rPr>
          <w:b/>
          <w:bCs/>
          <w:sz w:val="20"/>
          <w:highlight w:val="white"/>
        </w:rPr>
      </w:r>
      <w:r>
        <w:rPr>
          <w:b/>
          <w:bCs/>
          <w:sz w:val="20"/>
          <w:highlight w:val="white"/>
        </w:rPr>
      </w:r>
    </w:p>
    <w:p>
      <w:pPr>
        <w:ind w:firstLine="540"/>
        <w:tabs>
          <w:tab w:val="left" w:pos="1080" w:leader="none"/>
        </w:tabs>
        <w:rPr>
          <w:b/>
          <w:sz w:val="20"/>
          <w:szCs w:val="20"/>
          <w:highlight w:val="white"/>
        </w:rPr>
      </w:pPr>
      <w:r>
        <w:rPr>
          <w:b/>
          <w:sz w:val="20"/>
          <w:szCs w:val="20"/>
          <w:highlight w:val="white"/>
        </w:rPr>
        <w:t xml:space="preserve">Инструкции по заполнению</w:t>
      </w:r>
      <w:r>
        <w:rPr>
          <w:b/>
          <w:sz w:val="20"/>
          <w:szCs w:val="20"/>
          <w:highlight w:val="white"/>
        </w:rPr>
      </w:r>
      <w:r>
        <w:rPr>
          <w:b/>
          <w:sz w:val="20"/>
          <w:szCs w:val="20"/>
          <w:highlight w:val="white"/>
        </w:rPr>
      </w:r>
    </w:p>
    <w:p>
      <w:pPr>
        <w:pStyle w:val="1126"/>
        <w:numPr>
          <w:ilvl w:val="0"/>
          <w:numId w:val="32"/>
        </w:numPr>
        <w:ind w:left="0" w:firstLine="567"/>
        <w:tabs>
          <w:tab w:val="left" w:pos="709" w:leader="none"/>
          <w:tab w:val="left" w:pos="851" w:leader="none"/>
        </w:tabs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Данные инструкции не следует воспроизводить в документах, подготовленных Участником закупки.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26"/>
        <w:numPr>
          <w:ilvl w:val="0"/>
          <w:numId w:val="32"/>
        </w:numPr>
        <w:ind w:left="0" w:firstLine="567"/>
        <w:jc w:val="both"/>
        <w:tabs>
          <w:tab w:val="left" w:pos="709" w:leader="none"/>
          <w:tab w:val="left" w:pos="851" w:leader="none"/>
        </w:tabs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Участник закупки </w:t>
      </w:r>
      <w:r>
        <w:rPr>
          <w:sz w:val="20"/>
          <w:szCs w:val="20"/>
          <w:highlight w:val="white"/>
          <w:u w:val="single"/>
        </w:rPr>
        <w:t xml:space="preserve">обязан</w:t>
      </w:r>
      <w:r>
        <w:rPr>
          <w:sz w:val="20"/>
          <w:szCs w:val="20"/>
          <w:highlight w:val="white"/>
        </w:rPr>
        <w:t xml:space="preserve"> указать сведения о стране происхождения товара, </w:t>
      </w:r>
      <w:r>
        <w:rPr>
          <w:b/>
          <w:sz w:val="20"/>
          <w:szCs w:val="20"/>
          <w:highlight w:val="white"/>
        </w:rPr>
        <w:t xml:space="preserve">в том числе поставляемого при выполнении работ, оказании услуг. </w:t>
      </w:r>
      <w:r>
        <w:rPr>
          <w:sz w:val="20"/>
          <w:szCs w:val="20"/>
          <w:highlight w:val="white"/>
          <w:shd w:val="clear" w:color="ffff00" w:fill="ffff00"/>
        </w:rPr>
        <w:t xml:space="preserve">Указанные сведения используются Заказчиком в том числе для определения страны происхождения товара, если в отношении закупаемых товаров (в том числе поставляемым при выполнении закупаемых работ, оказании закупаемых услуг), применяется </w:t>
      </w:r>
      <w:r>
        <w:rPr>
          <w:b/>
          <w:bCs/>
          <w:sz w:val="20"/>
          <w:szCs w:val="20"/>
          <w:highlight w:val="white"/>
          <w:shd w:val="clear" w:color="ffff00" w:fill="ffff00"/>
        </w:rPr>
        <w:t xml:space="preserve">преимущество</w:t>
      </w:r>
      <w:r>
        <w:rPr>
          <w:sz w:val="20"/>
          <w:szCs w:val="20"/>
          <w:highlight w:val="white"/>
          <w:shd w:val="clear" w:color="ffff00" w:fill="ffff00"/>
        </w:rPr>
        <w:t xml:space="preserve"> в соответствии с ПП № 1875.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26"/>
        <w:numPr>
          <w:ilvl w:val="0"/>
          <w:numId w:val="32"/>
        </w:numPr>
        <w:ind w:left="0" w:firstLine="567"/>
        <w:jc w:val="both"/>
        <w:tabs>
          <w:tab w:val="left" w:pos="709" w:leader="none"/>
          <w:tab w:val="left" w:pos="851" w:leader="none"/>
        </w:tabs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Информация по наименованию товара заполняется участником в полном соответствии со спецификацией поставляемого товара, представленной в составе заявки в отношении предмета закупки.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26"/>
        <w:numPr>
          <w:ilvl w:val="0"/>
          <w:numId w:val="32"/>
        </w:numPr>
        <w:ind w:left="0" w:firstLine="567"/>
        <w:jc w:val="both"/>
        <w:tabs>
          <w:tab w:val="left" w:pos="709" w:leader="none"/>
          <w:tab w:val="left" w:pos="851" w:leader="none"/>
        </w:tabs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В случае отсутствия поставки товаров в составе закупки на выполнение работ, оказание услуг, участник такой закупки в приведённой форме указывает: «ПОСТАВКА ТОВАРОВ В РАМКАХ ДАННОЙ ЗАКУПКИ НЕ ПРЕДУСМОТРЕНА».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26"/>
        <w:numPr>
          <w:ilvl w:val="0"/>
          <w:numId w:val="32"/>
        </w:numPr>
        <w:ind w:left="0" w:firstLine="567"/>
        <w:jc w:val="both"/>
        <w:tabs>
          <w:tab w:val="left" w:pos="709" w:leader="none"/>
          <w:tab w:val="left" w:pos="851" w:leader="none"/>
        </w:tabs>
        <w:rPr>
          <w:sz w:val="20"/>
          <w:szCs w:val="20"/>
          <w:highlight w:val="white"/>
        </w:rPr>
      </w:pPr>
      <w:r>
        <w:rPr>
          <w:sz w:val="20"/>
          <w:highlight w:val="white"/>
        </w:rPr>
        <w:t xml:space="preserve">В случае предоставления Участником закупки предложения к поставке товаров российского</w:t>
      </w:r>
      <w:r>
        <w:rPr>
          <w:sz w:val="18"/>
          <w:szCs w:val="18"/>
          <w:highlight w:val="white"/>
        </w:rPr>
        <w:t xml:space="preserve">/ЕАЭС</w:t>
      </w:r>
      <w:r>
        <w:rPr>
          <w:sz w:val="20"/>
          <w:highlight w:val="white"/>
        </w:rPr>
        <w:t xml:space="preserve"> происхождения (в том числи при выполнении работ/оказании услуг по договору) в соответствии с требованиями постановления </w:t>
      </w:r>
      <w:r>
        <w:rPr>
          <w:sz w:val="20"/>
          <w:szCs w:val="20"/>
          <w:highlight w:val="white"/>
          <w:shd w:val="clear" w:color="ffff00" w:fill="ffff00"/>
        </w:rPr>
        <w:t xml:space="preserve">ПП № 1875</w:t>
      </w:r>
      <w:r>
        <w:rPr>
          <w:sz w:val="20"/>
          <w:highlight w:val="white"/>
        </w:rPr>
        <w:t xml:space="preserve"> указывается номер реестровой записи предлагаемого товара из одного из следующих реестров, определенных постановлением: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26"/>
        <w:ind w:left="0" w:firstLine="567"/>
        <w:jc w:val="both"/>
        <w:rPr>
          <w:highlight w:val="yellow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0"/>
          <w:szCs w:val="20"/>
          <w:highlight w:val="yellow"/>
        </w:rPr>
        <w:t xml:space="preserve">- реестр российской промышленной продукции (https://gisp.gov.ru/pp719v2/pub/prod/);</w:t>
      </w:r>
      <w:r>
        <w:rPr>
          <w:highlight w:val="yellow"/>
        </w:rPr>
      </w:r>
      <w:r>
        <w:rPr>
          <w:highlight w:val="yellow"/>
        </w:rPr>
      </w:r>
    </w:p>
    <w:p>
      <w:pPr>
        <w:pStyle w:val="1126"/>
        <w:ind w:left="0" w:firstLine="567"/>
        <w:jc w:val="both"/>
        <w:rPr>
          <w:sz w:val="20"/>
          <w:szCs w:val="20"/>
          <w:highlight w:val="yellow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0"/>
          <w:szCs w:val="20"/>
          <w:highlight w:val="yellow"/>
        </w:rPr>
        <w:t xml:space="preserve">- единый реестр российских программ для электронных вычислительных машин и баз данных (https://reestr.digital.gov.ru/reestr/);</w:t>
      </w:r>
      <w:r>
        <w:rPr>
          <w:sz w:val="20"/>
          <w:szCs w:val="20"/>
          <w:highlight w:val="yellow"/>
        </w:rPr>
      </w:r>
      <w:r>
        <w:rPr>
          <w:sz w:val="20"/>
          <w:szCs w:val="20"/>
          <w:highlight w:val="yellow"/>
        </w:rPr>
      </w:r>
    </w:p>
    <w:p>
      <w:pPr>
        <w:pStyle w:val="1126"/>
        <w:ind w:left="0" w:firstLine="567"/>
        <w:jc w:val="both"/>
        <w:rPr>
          <w:sz w:val="20"/>
          <w:szCs w:val="20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0"/>
          <w:szCs w:val="20"/>
          <w:highlight w:val="white"/>
        </w:rPr>
        <w:t xml:space="preserve">- единый реестр программ для электронных вычислительных машин и баз данных из государств - членов Евразийского экономического союза, за исключением Российской Федерации  (https://eac-reestr.digital.gov.ru/reestr/).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26"/>
        <w:ind w:left="0" w:firstLine="567"/>
        <w:jc w:val="both"/>
        <w:shd w:val="clear" w:color="ffffff" w:themeColor="background1" w:fill="ffffff" w:themeFill="background1"/>
        <w:rPr>
          <w:sz w:val="20"/>
          <w:szCs w:val="20"/>
          <w:highlight w:val="yellow"/>
        </w:rPr>
      </w:pPr>
      <w:r>
        <w:rPr>
          <w:sz w:val="20"/>
          <w:szCs w:val="20"/>
          <w:highlight w:val="yellow"/>
          <w:shd w:val="clear" w:color="ffffff" w:themeColor="background1" w:fill="ffffff" w:themeFill="background1"/>
        </w:rPr>
        <w:t xml:space="preserve">До внесения изменений в право ЕАЭС, предусматривающих подтверждение страны происхождения товаров, указанных в приложениях № 1 (запреты), 2 (ограничения) к ПП № 1875, путем предоставлени</w:t>
      </w:r>
      <w:r>
        <w:rPr>
          <w:sz w:val="20"/>
          <w:szCs w:val="20"/>
          <w:highlight w:val="yellow"/>
          <w:shd w:val="clear" w:color="ffffff" w:themeColor="background1" w:fill="ffffff" w:themeFill="background1"/>
        </w:rPr>
        <w:t xml:space="preserve">я информации из евразийского реестра промышленных товаров, документом, подтверждающим происхождение таких товаров из государств - членов ЕАЭС, за исключением Российской Федерации, является сертификат о происхождении товара, выданный уполномоченным органом </w:t>
      </w:r>
      <w:r>
        <w:rPr>
          <w:sz w:val="20"/>
          <w:szCs w:val="20"/>
          <w:highlight w:val="yellow"/>
          <w:shd w:val="clear" w:color="ffffff" w:themeColor="background1" w:fill="ffffff" w:themeFill="background1"/>
        </w:rPr>
        <w:t xml:space="preserve">(организацией) государства - члена ЕАЭС по форме, установленной Правилами определения страны происхождения товаров, и в соответствии с критериями определения страны происхождения товаров, предусмотренными Правилами определения страны происхождения товаров.</w:t>
      </w:r>
      <w:r>
        <w:rPr>
          <w:sz w:val="20"/>
          <w:szCs w:val="20"/>
          <w:highlight w:val="yellow"/>
        </w:rPr>
      </w:r>
      <w:r>
        <w:rPr>
          <w:sz w:val="20"/>
          <w:szCs w:val="20"/>
          <w:highlight w:val="yellow"/>
        </w:rPr>
      </w:r>
    </w:p>
    <w:p>
      <w:pPr>
        <w:pStyle w:val="1126"/>
        <w:ind w:left="0" w:firstLine="567"/>
        <w:jc w:val="both"/>
        <w:rPr>
          <w:sz w:val="20"/>
          <w:szCs w:val="20"/>
        </w:rPr>
      </w:pPr>
      <w:r>
        <w:rPr>
          <w:sz w:val="20"/>
          <w:szCs w:val="20"/>
          <w:highlight w:val="white"/>
          <w:shd w:val="clear" w:color="ffff00" w:fill="ffff00"/>
        </w:rPr>
        <w:t xml:space="preserve">Указанные сведения используются Заказчиком для определения страны происхождения товара, если в отношении закупаемых товаров (в том числе поставляемым при выполнении закупаемых работ, оказании закупаемых услуг), применяется </w:t>
      </w:r>
      <w:r>
        <w:rPr>
          <w:b/>
          <w:bCs/>
          <w:sz w:val="20"/>
          <w:szCs w:val="20"/>
          <w:highlight w:val="white"/>
          <w:shd w:val="clear" w:color="ffff00" w:fill="ffff00"/>
        </w:rPr>
        <w:t xml:space="preserve">запрет, ограничение</w:t>
      </w:r>
      <w:r>
        <w:rPr>
          <w:sz w:val="20"/>
          <w:szCs w:val="20"/>
          <w:highlight w:val="white"/>
          <w:shd w:val="clear" w:color="ffff00" w:fill="ffff00"/>
        </w:rPr>
        <w:t xml:space="preserve"> в соответствии с ПП № 1875.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126"/>
        <w:ind w:left="0" w:firstLine="567"/>
        <w:jc w:val="both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shd w:val="clear" w:color="ffff00" w:fill="ffff00"/>
        </w:rPr>
        <w:t xml:space="preserve">В случае отсутствия номера реестровой записи или указания участником номера реестровой записи, не соответствующего предлагаемому товару, такой товар, в случае применения к нему </w:t>
      </w:r>
      <w:r>
        <w:rPr>
          <w:b/>
          <w:bCs/>
          <w:sz w:val="20"/>
          <w:szCs w:val="20"/>
          <w:highlight w:val="white"/>
          <w:shd w:val="clear" w:color="ffff00" w:fill="ffff00"/>
        </w:rPr>
        <w:t xml:space="preserve">запрета, ограничения</w:t>
      </w:r>
      <w:r>
        <w:rPr>
          <w:sz w:val="20"/>
          <w:szCs w:val="20"/>
          <w:highlight w:val="white"/>
          <w:shd w:val="clear" w:color="ffff00" w:fill="ffff00"/>
        </w:rPr>
        <w:t xml:space="preserve"> в соответствии с ПП № 1875, будет рассматриваться как товар иностранного происхождения.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jc w:val="left"/>
        <w:spacing w:after="0"/>
        <w:rPr>
          <w:b/>
          <w:bCs/>
          <w:highlight w:val="white"/>
        </w:rPr>
      </w:pPr>
      <w:r>
        <w:rPr>
          <w:b/>
          <w:bCs/>
          <w:highlight w:val="white"/>
        </w:rPr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sectPr>
          <w:footerReference w:type="default" r:id="rId9"/>
          <w:footerReference w:type="first" r:id="rId10"/>
          <w:footnotePr/>
          <w:endnotePr/>
          <w:type w:val="nextPage"/>
          <w:pgSz w:w="11906" w:h="16838" w:orient="portrait"/>
          <w:pgMar w:top="902" w:right="567" w:bottom="1077" w:left="1134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806"/>
        <w:ind w:left="567" w:firstLine="0"/>
        <w:pageBreakBefore/>
        <w:spacing w:after="0"/>
        <w:tabs>
          <w:tab w:val="clear" w:pos="576" w:leader="none"/>
        </w:tabs>
        <w:rPr>
          <w:caps/>
          <w:sz w:val="24"/>
          <w:szCs w:val="24"/>
        </w:rPr>
      </w:pPr>
      <w:r/>
      <w:bookmarkStart w:id="144" w:name="_Toc57"/>
      <w:r>
        <w:rPr>
          <w:caps/>
          <w:sz w:val="24"/>
          <w:szCs w:val="24"/>
        </w:rPr>
        <w:t xml:space="preserve">ФОРМА </w:t>
      </w:r>
      <w:r>
        <w:rPr>
          <w:caps/>
          <w:sz w:val="24"/>
          <w:szCs w:val="24"/>
        </w:rPr>
        <w:t xml:space="preserve">4</w:t>
      </w:r>
      <w:r>
        <w:rPr>
          <w:caps/>
          <w:sz w:val="24"/>
          <w:szCs w:val="24"/>
        </w:rPr>
        <w:t xml:space="preserve">. ДОВЕРЕННОСТЬ НА ПРЕДСТАВЛЕНИЕ ИНТЕРЕСОВ ЧЛЕНА КОЛЛЕКТИВНОГО УЧАСТНИКА</w:t>
      </w:r>
      <w:bookmarkEnd w:id="144"/>
      <w:r>
        <w:rPr>
          <w:caps/>
          <w:sz w:val="24"/>
          <w:szCs w:val="24"/>
        </w:rPr>
      </w:r>
      <w:r>
        <w:rPr>
          <w:caps/>
          <w:sz w:val="24"/>
          <w:szCs w:val="24"/>
        </w:rPr>
      </w:r>
    </w:p>
    <w:p>
      <w:pPr>
        <w:jc w:val="center"/>
      </w:pPr>
      <w:r>
        <w:t xml:space="preserve">(представляется в составе </w:t>
      </w:r>
      <w:r>
        <w:rPr>
          <w:u w:val="single"/>
        </w:rPr>
        <w:t xml:space="preserve">ВТОРОЙ части заявки</w:t>
      </w:r>
      <w:r>
        <w:t xml:space="preserve">)</w:t>
      </w:r>
      <w:r/>
    </w:p>
    <w:p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ДОВЕРЕННОСТЬ НА ПРЕДСТАВЛЕНИЕ ИНТЕРЕСОВ ЧЛЕНА КОЛЛЕКТИВНОГО УЧАСТНИКА</w:t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-------------------------------------------------------------------------------------------------------------------------------</w: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tbl>
      <w:tblPr>
        <w:tblW w:w="11400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0"/>
        <w:gridCol w:w="5700"/>
      </w:tblGrid>
      <w:tr>
        <w:tblPrEx/>
        <w:trPr>
          <w:tblCellSpacing w:w="0" w:type="dxa"/>
        </w:trPr>
        <w:tc>
          <w:tcPr>
            <w:shd w:val="clear" w:color="auto" w:fill="ffffff"/>
            <w:tcW w:w="5700" w:type="dxa"/>
            <w:textDirection w:val="lrTb"/>
            <w:noWrap w:val="false"/>
          </w:tcPr>
          <w:p>
            <w:pPr>
              <w:rPr>
                <w:bCs/>
              </w:rPr>
            </w:pPr>
            <w:r>
              <w:rPr>
                <w:bCs/>
              </w:rPr>
              <w:t xml:space="preserve">г.  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shd w:val="clear" w:color="auto" w:fill="ffffff"/>
            <w:tcW w:w="5700" w:type="dxa"/>
            <w:textDirection w:val="lrTb"/>
            <w:noWrap w:val="false"/>
          </w:tcPr>
          <w:p>
            <w:pPr>
              <w:jc w:val="left"/>
              <w:rPr>
                <w:bCs/>
              </w:rPr>
            </w:pPr>
            <w:r>
              <w:rPr>
                <w:bCs/>
              </w:rPr>
              <w:t xml:space="preserve">                         «__»__________ 20__г.</w:t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</w:tbl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 _______________________________________ (указывается наименование члена коллективного участника)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(ОГРН_________________; ИНН________________; КПП_________________; юридический адрес: ____________________________________________________________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фактический адрес_____________________________________________________________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в лице____________________________________________________________, действующего на основании ____________________________________________________, 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/>
          <w:bCs/>
        </w:rPr>
        <w:t xml:space="preserve">настоящей доверенностью уполномочивает</w:t>
      </w:r>
      <w:r>
        <w:rPr>
          <w:bCs/>
        </w:rPr>
        <w:t xml:space="preserve"> _______________________________________, _____________ серия __________, № _______________, 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выдан ___________</w:t>
      </w:r>
      <w:r>
        <w:rPr>
          <w:bCs/>
        </w:rPr>
        <w:t xml:space="preserve">__________________________________, код подразделения ________, зарегистрированного по адресу:________________________________________________ , являющегося Генеральным директором (может быть указано иное уполномоченное лицо лидера коллективного участника)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 __________________________ (указывается наименование лидера коллективного участника)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(ОГРН_________________; ИНН________________; КПП_________________; юридический адрес: ____________________________________________________________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фактический адрес_____________________________________________________________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являться лидером коллективного участника в составе </w:t>
      </w:r>
      <w:r>
        <w:t xml:space="preserve">__________________ </w:t>
      </w:r>
      <w:r>
        <w:rPr>
          <w:i/>
        </w:rPr>
        <w:t xml:space="preserve">(указывается состав _коллективного участника)</w:t>
      </w:r>
      <w:r>
        <w:t xml:space="preserve"> и </w:t>
      </w:r>
      <w:r>
        <w:rPr>
          <w:bCs/>
        </w:rPr>
        <w:t xml:space="preserve">представлять интересы _ _______________________________________ </w:t>
      </w:r>
      <w:r>
        <w:rPr>
          <w:bCs/>
          <w:i/>
        </w:rPr>
        <w:t xml:space="preserve">(указывается наименование члена коллективного участника)</w:t>
      </w:r>
      <w:r>
        <w:rPr>
          <w:bCs/>
        </w:rPr>
        <w:t xml:space="preserve"> – члена </w:t>
      </w:r>
      <w:r>
        <w:t xml:space="preserve">коллективного участника при проведении ____________________ </w:t>
      </w:r>
      <w:r>
        <w:rPr>
          <w:i/>
        </w:rPr>
        <w:t xml:space="preserve">(указывается наименование закупки)</w:t>
      </w:r>
      <w:r>
        <w:t xml:space="preserve">, проводимом ____________________ </w:t>
      </w:r>
      <w:r>
        <w:rPr>
          <w:i/>
        </w:rPr>
        <w:t xml:space="preserve">(указывается наименование организатора закупки)</w:t>
      </w:r>
      <w:r>
        <w:rPr>
          <w:bCs/>
        </w:rPr>
        <w:t xml:space="preserve">. В целях реализации данного полномочия лидер коллективного участника вправе:</w:t>
      </w:r>
      <w:r>
        <w:rPr>
          <w:bCs/>
        </w:rPr>
      </w:r>
      <w:r>
        <w:rPr>
          <w:bCs/>
        </w:rPr>
      </w:r>
    </w:p>
    <w:p>
      <w:pPr>
        <w:pStyle w:val="1126"/>
        <w:numPr>
          <w:ilvl w:val="0"/>
          <w:numId w:val="31"/>
        </w:numPr>
        <w:jc w:val="both"/>
        <w:rPr>
          <w:bCs/>
        </w:rPr>
      </w:pPr>
      <w:r>
        <w:rPr>
          <w:bCs/>
        </w:rPr>
        <w:t xml:space="preserve">Подавать заявку на участие в закупке, в том числе подавать информацию и документы </w:t>
      </w:r>
      <w:r>
        <w:rPr>
          <w:bCs/>
          <w:i/>
        </w:rPr>
        <w:t xml:space="preserve">________________(указывается наименование члена коллективного участника)</w:t>
      </w:r>
      <w:r>
        <w:rPr>
          <w:bCs/>
        </w:rPr>
        <w:t xml:space="preserve">, установленные в документации о закупке в целях подтверждения соответствия члена коллективного участника требованиям к участникам закупки,  в рамках поставки следующих товаров/выполнения следующих работ/оказания следующих услуг </w:t>
      </w:r>
      <w:r>
        <w:rPr>
          <w:bCs/>
          <w:i/>
        </w:rPr>
        <w:t xml:space="preserve">(указывается перечень поставляемых товаров, выполняемых работ, оказываемых услуг в рамках исполнения договора членом коллективного участника - доверителем)</w:t>
      </w:r>
      <w:r>
        <w:rPr>
          <w:bCs/>
        </w:rPr>
        <w:t xml:space="preserve">:  </w:t>
      </w:r>
      <w:r>
        <w:rPr>
          <w:bCs/>
        </w:rPr>
      </w:r>
      <w:r>
        <w:rPr>
          <w:bCs/>
        </w:rPr>
      </w:r>
    </w:p>
    <w:p>
      <w:pPr>
        <w:pStyle w:val="1126"/>
        <w:jc w:val="both"/>
        <w:rPr>
          <w:bCs/>
        </w:rPr>
      </w:pPr>
      <w:r>
        <w:t xml:space="preserve">…..….</w:t>
      </w:r>
      <w:r>
        <w:rPr>
          <w:bCs/>
        </w:rPr>
      </w:r>
      <w:r>
        <w:rPr>
          <w:bCs/>
        </w:rPr>
      </w:r>
    </w:p>
    <w:p>
      <w:pPr>
        <w:pStyle w:val="1126"/>
        <w:jc w:val="both"/>
        <w:rPr>
          <w:bCs/>
        </w:rPr>
      </w:pPr>
      <w:r>
        <w:t xml:space="preserve">…..….</w:t>
      </w:r>
      <w:r>
        <w:rPr>
          <w:bCs/>
        </w:rPr>
      </w:r>
      <w:r>
        <w:rPr>
          <w:bCs/>
        </w:rPr>
      </w:r>
    </w:p>
    <w:p>
      <w:pPr>
        <w:pStyle w:val="1126"/>
        <w:jc w:val="both"/>
        <w:rPr>
          <w:bCs/>
        </w:rPr>
      </w:pPr>
      <w:r>
        <w:t xml:space="preserve">……..</w:t>
      </w:r>
      <w:r>
        <w:rPr>
          <w:bCs/>
        </w:rPr>
        <w:t xml:space="preserve">;</w:t>
      </w:r>
      <w:r>
        <w:rPr>
          <w:bCs/>
        </w:rPr>
      </w:r>
      <w:r>
        <w:rPr>
          <w:bCs/>
        </w:rPr>
      </w:r>
    </w:p>
    <w:p>
      <w:pPr>
        <w:pStyle w:val="1126"/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126"/>
        <w:numPr>
          <w:ilvl w:val="0"/>
          <w:numId w:val="31"/>
        </w:numPr>
        <w:jc w:val="both"/>
        <w:rPr>
          <w:bCs/>
        </w:rPr>
      </w:pPr>
      <w:r>
        <w:rPr>
          <w:bCs/>
        </w:rPr>
        <w:t xml:space="preserve">Подавать предложение о цене договора (цене лота, единицы товара, работы, услуги), в том числе дополнительное ценовое предложение при проведении закупки;</w:t>
      </w:r>
      <w:r>
        <w:rPr>
          <w:bCs/>
        </w:rPr>
      </w:r>
      <w:r>
        <w:rPr>
          <w:bCs/>
        </w:rPr>
      </w:r>
    </w:p>
    <w:p>
      <w:pPr>
        <w:pStyle w:val="1126"/>
        <w:numPr>
          <w:ilvl w:val="0"/>
          <w:numId w:val="31"/>
        </w:numPr>
        <w:jc w:val="both"/>
        <w:rPr>
          <w:bCs/>
        </w:rPr>
      </w:pPr>
      <w:r>
        <w:rPr>
          <w:bCs/>
        </w:rPr>
        <w:t xml:space="preserve">Декларировать соответствие </w:t>
      </w:r>
      <w:r>
        <w:rPr>
          <w:bCs/>
          <w:i/>
        </w:rPr>
        <w:t xml:space="preserve">________________(указывается наименование члена коллективного участника)</w:t>
      </w:r>
      <w:r>
        <w:rPr>
          <w:bCs/>
        </w:rPr>
        <w:t xml:space="preserve"> требованиям, предусмотренным пунктом 9 части 19.1 статьи 3.4 Федерального закона от 18.07.2011 № 223-ФЗ «О закупке товаров, работ услуг, отдельными видами юридических лиц» и установленными в документации о закупке;</w:t>
      </w:r>
      <w:r>
        <w:rPr>
          <w:bCs/>
        </w:rPr>
      </w:r>
      <w:r>
        <w:rPr>
          <w:bCs/>
        </w:rPr>
      </w:r>
    </w:p>
    <w:p>
      <w:pPr>
        <w:pStyle w:val="1126"/>
        <w:numPr>
          <w:ilvl w:val="0"/>
          <w:numId w:val="31"/>
        </w:numPr>
        <w:jc w:val="both"/>
        <w:rPr>
          <w:bCs/>
        </w:rPr>
      </w:pPr>
      <w:r>
        <w:rPr>
          <w:bCs/>
        </w:rPr>
        <w:t xml:space="preserve">В случае признания коллективного участника победителем закупки, либо принятия решения о заключения договора с коллективным участником – подписать договор по результатам закупки от имени коллективного участника;</w:t>
      </w:r>
      <w:r>
        <w:rPr>
          <w:bCs/>
        </w:rPr>
      </w:r>
      <w:r>
        <w:rPr>
          <w:bCs/>
        </w:rPr>
      </w:r>
    </w:p>
    <w:p>
      <w:pPr>
        <w:pStyle w:val="1126"/>
        <w:numPr>
          <w:ilvl w:val="0"/>
          <w:numId w:val="31"/>
        </w:numPr>
        <w:jc w:val="both"/>
        <w:rPr>
          <w:bCs/>
        </w:rPr>
      </w:pPr>
      <w:r>
        <w:rPr>
          <w:bCs/>
        </w:rPr>
        <w:t xml:space="preserve">Выполнять иные необходимые действия, в рамках участия в закупке, а также заключения договора, по результатам такой закупки.</w:t>
      </w:r>
      <w:r>
        <w:rPr>
          <w:bCs/>
        </w:rPr>
      </w:r>
      <w:r>
        <w:rPr>
          <w:bCs/>
        </w:rPr>
      </w:r>
    </w:p>
    <w:p>
      <w:pPr>
        <w:pStyle w:val="1126"/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__________________________________________________________________________________________________________________________________________________________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br/>
        <w:t xml:space="preserve">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br/>
        <w:t xml:space="preserve">Настоящая доверенность выдана сроком до «__» ___________ 20__ года. 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Полномочия по настоящей доверенности не могут быть переданы третьим лицам.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br/>
      </w:r>
      <w:r>
        <w:rPr>
          <w:bCs/>
        </w:rPr>
      </w:r>
      <w:r>
        <w:rPr>
          <w:bCs/>
        </w:rPr>
      </w:r>
    </w:p>
    <w:p>
      <w:pPr>
        <w:jc w:val="right"/>
        <w:rPr>
          <w:bCs/>
        </w:rPr>
      </w:pPr>
      <w:r>
        <w:rPr>
          <w:bCs/>
        </w:rPr>
        <w:t xml:space="preserve">Подпись __________________________ удостоверяю.</w:t>
      </w:r>
      <w:r>
        <w:rPr>
          <w:bCs/>
        </w:rPr>
        <w:br/>
      </w:r>
      <w:r>
        <w:rPr>
          <w:bCs/>
          <w:sz w:val="22"/>
          <w:szCs w:val="22"/>
        </w:rPr>
        <w:t xml:space="preserve">(подпись доверенного лица)                              </w:t>
      </w:r>
      <w:r>
        <w:rPr>
          <w:bCs/>
        </w:rPr>
      </w:r>
      <w:r>
        <w:rPr>
          <w:bCs/>
        </w:rPr>
      </w:r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  <w:br/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_________________________ /___________________/</w:t>
      </w:r>
      <w:r>
        <w:rPr>
          <w:bCs/>
          <w:sz w:val="22"/>
          <w:szCs w:val="22"/>
        </w:rPr>
        <w:br/>
        <w:t xml:space="preserve">(подпись)                                       </w:t>
      </w:r>
      <w:r>
        <w:rPr>
          <w:bCs/>
          <w:sz w:val="22"/>
          <w:szCs w:val="22"/>
        </w:rPr>
        <w:br/>
      </w:r>
      <w:r>
        <w:rPr>
          <w:bCs/>
          <w:sz w:val="22"/>
          <w:szCs w:val="22"/>
        </w:rPr>
        <w:br/>
        <w:t xml:space="preserve">М.П.  (при наличии)                                                                     </w: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ind w:left="720"/>
        <w:spacing w:after="0"/>
        <w:tabs>
          <w:tab w:val="left" w:pos="1134" w:leader="none"/>
        </w:tabs>
        <w:rPr>
          <w:sz w:val="20"/>
          <w:szCs w:val="20"/>
        </w:rPr>
      </w:pPr>
      <w:r>
        <w:rPr>
          <w:sz w:val="20"/>
          <w:szCs w:val="20"/>
        </w:rPr>
        <w:br w:type="page" w:clear="all"/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ectPr>
          <w:footnotePr/>
          <w:endnotePr/>
          <w:type w:val="nextPage"/>
          <w:pgSz w:w="11906" w:h="16838" w:orient="portrait"/>
          <w:pgMar w:top="902" w:right="567" w:bottom="1077" w:left="1134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806"/>
        <w:ind w:left="0" w:firstLine="0"/>
        <w:keepNext w:val="0"/>
        <w:spacing w:after="0"/>
        <w:widowControl w:val="off"/>
        <w:tabs>
          <w:tab w:val="clear" w:pos="576" w:leader="none"/>
        </w:tabs>
        <w:rPr>
          <w:sz w:val="24"/>
          <w:szCs w:val="24"/>
        </w:rPr>
      </w:pPr>
      <w:r/>
      <w:bookmarkStart w:id="145" w:name="_Toc58"/>
      <w:r>
        <w:rPr>
          <w:sz w:val="24"/>
          <w:szCs w:val="24"/>
        </w:rPr>
        <w:t xml:space="preserve">ФОРМА 5</w:t>
      </w:r>
      <w:r>
        <w:rPr>
          <w:sz w:val="24"/>
          <w:szCs w:val="24"/>
        </w:rPr>
        <w:t xml:space="preserve">. СВОДНАЯ ТАБЛИЦА СТОИМОСТИ ПОСТАВОК, РАБОТ (УСЛУГ)</w:t>
      </w:r>
      <w:bookmarkEnd w:id="14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widowControl w:val="off"/>
      </w:pPr>
      <w:r>
        <w:t xml:space="preserve">(представляется в составе </w:t>
      </w:r>
      <w:r>
        <w:rPr>
          <w:u w:val="single"/>
        </w:rPr>
        <w:t xml:space="preserve">ЦЕНОВОГО ПРЕДЛОЖЕНИЯ</w:t>
      </w:r>
      <w:r>
        <w:t xml:space="preserve">)</w:t>
      </w:r>
      <w:r/>
    </w:p>
    <w:p>
      <w:pPr>
        <w:widowControl w:val="off"/>
      </w:pPr>
      <w:r/>
      <w:r/>
    </w:p>
    <w:p>
      <w:pPr>
        <w:ind w:right="34"/>
        <w:jc w:val="left"/>
        <w:rPr>
          <w:bCs/>
        </w:rPr>
      </w:pPr>
      <w:r>
        <w:rPr>
          <w:bCs/>
        </w:rPr>
        <w:t xml:space="preserve">Способ и наименование закупки, с указанием № на ЭП _______________________________________</w:t>
      </w:r>
      <w:r>
        <w:rPr>
          <w:bCs/>
        </w:rPr>
      </w:r>
      <w:r>
        <w:rPr>
          <w:bCs/>
        </w:rPr>
      </w:r>
    </w:p>
    <w:p>
      <w:pPr>
        <w:ind w:right="34"/>
        <w:jc w:val="left"/>
      </w:pPr>
      <w:r>
        <w:t xml:space="preserve">Наименование и адрес участника ___________________________________________________________</w:t>
      </w:r>
      <w:r/>
    </w:p>
    <w:p>
      <w:pPr>
        <w:ind w:right="34"/>
        <w:jc w:val="left"/>
      </w:pPr>
      <w:r/>
      <w:r/>
    </w:p>
    <w:tbl>
      <w:tblPr>
        <w:tblW w:w="4902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429"/>
        <w:gridCol w:w="1862"/>
        <w:gridCol w:w="1697"/>
        <w:gridCol w:w="1660"/>
        <w:gridCol w:w="1540"/>
        <w:gridCol w:w="1677"/>
        <w:gridCol w:w="1645"/>
        <w:gridCol w:w="833"/>
        <w:gridCol w:w="839"/>
        <w:gridCol w:w="1200"/>
        <w:gridCol w:w="1176"/>
      </w:tblGrid>
      <w:tr>
        <w:tblPrEx/>
        <w:trPr>
          <w:trHeight w:val="939"/>
        </w:trPr>
        <w:tc>
          <w:tcPr>
            <w:tcW w:w="147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№  п/п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Наименование товаров. работ, услуг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583" w:type="pct"/>
            <w:textDirection w:val="lrTb"/>
            <w:noWrap w:val="false"/>
          </w:tcPr>
          <w:p>
            <w:pPr>
              <w:ind w:right="-109" w:firstLine="3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Полная характеристика (комплектация) 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570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Производитель товара </w:t>
            </w:r>
            <w:r>
              <w:rPr>
                <w:b/>
                <w:sz w:val="20"/>
              </w:rPr>
              <w:t xml:space="preserve">(</w:t>
            </w:r>
            <w:r>
              <w:rPr>
                <w:b/>
                <w:sz w:val="20"/>
                <w:lang w:eastAsia="en-US"/>
              </w:rPr>
              <w:t xml:space="preserve">для работ, услуг – страна регистрации исполнителя, подрядчика)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529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Наименование аналога*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576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Полная характеристика (комплектация) аналога*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565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Производитель аналога*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286" w:type="pct"/>
            <w:textDirection w:val="lrTb"/>
            <w:noWrap w:val="false"/>
          </w:tcPr>
          <w:p>
            <w:pPr>
              <w:ind w:right="-47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Единицы</w:t>
            </w:r>
            <w:r>
              <w:rPr>
                <w:b/>
                <w:sz w:val="20"/>
                <w:lang w:eastAsia="en-US"/>
              </w:rPr>
              <w:br/>
              <w:t xml:space="preserve">измерения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288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Количество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412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Цена за единицу, руб. без НДС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Общая цена, руб.,  без НДС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</w:tr>
      <w:tr>
        <w:tblPrEx/>
        <w:trPr>
          <w:trHeight w:val="187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2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3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4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5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6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7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8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9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10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11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1.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2.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…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Итого общая цена без НДС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Сумма НДС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Общая сумма с НДС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</w:tbl>
    <w:p>
      <w:pPr>
        <w:ind w:right="34"/>
        <w:jc w:val="left"/>
        <w:rPr>
          <w:b/>
          <w:sz w:val="20"/>
          <w:lang w:eastAsia="en-US"/>
        </w:rPr>
        <w:outlineLvl w:val="2"/>
      </w:pPr>
      <w:r>
        <w:rPr>
          <w:b/>
          <w:sz w:val="20"/>
        </w:rPr>
        <w:t xml:space="preserve">*</w:t>
      </w:r>
      <w:r>
        <w:rPr>
          <w:b/>
          <w:sz w:val="20"/>
          <w:lang w:eastAsia="en-US"/>
        </w:rPr>
        <w:t xml:space="preserve"> гр. 5-7 заполняются только в случае замены требуемой продукции на аналог, при этом в гр. 2 и 3 должна быть указана требуемая продукция в соответствии с частью V «ТЕХНИЧЕСКАЯ ЧАСТЬ».</w:t>
      </w:r>
      <w:r>
        <w:rPr>
          <w:b/>
          <w:sz w:val="20"/>
          <w:lang w:eastAsia="en-US"/>
        </w:rPr>
      </w:r>
      <w:r>
        <w:rPr>
          <w:b/>
          <w:sz w:val="20"/>
          <w:lang w:eastAsia="en-US"/>
        </w:rPr>
      </w:r>
    </w:p>
    <w:p>
      <w:pPr>
        <w:ind w:right="34"/>
        <w:jc w:val="left"/>
        <w:rPr>
          <w:b/>
          <w:i/>
          <w:sz w:val="20"/>
        </w:rPr>
        <w:outlineLvl w:val="2"/>
      </w:pPr>
      <w:r>
        <w:rPr>
          <w:b/>
          <w:i/>
          <w:sz w:val="20"/>
        </w:rPr>
      </w:r>
      <w:r>
        <w:rPr>
          <w:b/>
          <w:i/>
          <w:sz w:val="20"/>
        </w:rPr>
      </w:r>
      <w:r>
        <w:rPr>
          <w:b/>
          <w:i/>
          <w:sz w:val="20"/>
        </w:rPr>
      </w:r>
    </w:p>
    <w:p>
      <w:pPr>
        <w:ind w:right="34" w:firstLine="567"/>
        <w:rPr>
          <w:i/>
          <w:highlight w:val="white"/>
        </w:rPr>
        <w:outlineLvl w:val="2"/>
      </w:pPr>
      <w:r>
        <w:rPr>
          <w:b/>
          <w:i/>
          <w:highlight w:val="white"/>
          <w:shd w:val="clear" w:color="ffff00" w:fill="ffff00"/>
        </w:rPr>
        <w:t xml:space="preserve">Подтверждаю согласие со сроками, порядком и условиями поставки/выполнения работ/оказания услуг и оплаты, в соответствии с настоящей документации о закупке и приложениями к ней. </w:t>
      </w:r>
      <w:r>
        <w:rPr>
          <w:i/>
          <w:highlight w:val="white"/>
        </w:rPr>
      </w:r>
      <w:r>
        <w:rPr>
          <w:i/>
          <w:highlight w:val="white"/>
        </w:rPr>
      </w:r>
    </w:p>
    <w:p>
      <w:pPr>
        <w:ind w:right="34"/>
        <w:jc w:val="left"/>
        <w:rPr>
          <w:highlight w:val="white"/>
          <w:vertAlign w:val="superscript"/>
        </w:rPr>
        <w:outlineLvl w:val="2"/>
      </w:pPr>
      <w:r>
        <w:rPr>
          <w:highlight w:val="white"/>
          <w:vertAlign w:val="superscript"/>
        </w:rPr>
      </w:r>
      <w:r>
        <w:rPr>
          <w:highlight w:val="white"/>
          <w:vertAlign w:val="superscript"/>
        </w:rPr>
      </w:r>
      <w:r>
        <w:rPr>
          <w:highlight w:val="white"/>
          <w:vertAlign w:val="superscript"/>
        </w:rPr>
      </w:r>
    </w:p>
    <w:p>
      <w:pPr>
        <w:ind w:right="34"/>
        <w:jc w:val="left"/>
        <w:keepLines/>
        <w:keepNext/>
        <w:outlineLvl w:val="2"/>
      </w:pPr>
      <w:r/>
      <w:r/>
    </w:p>
    <w:p>
      <w:pPr>
        <w:ind w:right="34"/>
        <w:jc w:val="left"/>
        <w:keepLines/>
        <w:keepNext/>
        <w:outlineLvl w:val="2"/>
      </w:pPr>
      <w:r>
        <w:t xml:space="preserve">М.П.  (Должность, подпись и ФИО уполномоченного представителя Участника)__________________________________________________</w:t>
      </w:r>
      <w:r/>
    </w:p>
    <w:p>
      <w:pPr>
        <w:ind w:right="34"/>
        <w:jc w:val="left"/>
        <w:rPr>
          <w:b/>
        </w:rPr>
        <w:outlineLvl w:val="2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right="34"/>
        <w:jc w:val="left"/>
        <w:rPr>
          <w:b/>
        </w:rPr>
        <w:outlineLvl w:val="2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right="34"/>
        <w:jc w:val="left"/>
        <w:rPr>
          <w:b/>
          <w:sz w:val="20"/>
        </w:rPr>
        <w:outlineLvl w:val="2"/>
      </w:pPr>
      <w:r>
        <w:rPr>
          <w:b/>
          <w:sz w:val="20"/>
        </w:rPr>
        <w:t xml:space="preserve">Инструкция по заполнению:</w:t>
      </w:r>
      <w:r>
        <w:rPr>
          <w:b/>
          <w:sz w:val="20"/>
        </w:rPr>
      </w:r>
      <w:r>
        <w:rPr>
          <w:b/>
          <w:sz w:val="20"/>
        </w:rPr>
      </w:r>
    </w:p>
    <w:p>
      <w:pPr>
        <w:numPr>
          <w:ilvl w:val="6"/>
          <w:numId w:val="26"/>
        </w:numPr>
        <w:ind w:left="0" w:right="34" w:firstLine="0"/>
        <w:jc w:val="left"/>
        <w:spacing w:after="0"/>
        <w:widowControl w:val="off"/>
        <w:tabs>
          <w:tab w:val="num" w:pos="284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Предоставляется файл в текстовом формате (</w:t>
      </w:r>
      <w:r>
        <w:rPr>
          <w:sz w:val="20"/>
          <w:szCs w:val="20"/>
          <w:lang w:val="en-US"/>
        </w:rPr>
        <w:t xml:space="preserve">MSOffice</w:t>
      </w:r>
      <w:r>
        <w:rPr>
          <w:sz w:val="20"/>
          <w:szCs w:val="20"/>
        </w:rPr>
        <w:t xml:space="preserve">) и заверенный в формате </w:t>
      </w:r>
      <w:r>
        <w:rPr>
          <w:sz w:val="20"/>
          <w:szCs w:val="20"/>
          <w:lang w:val="en-US"/>
        </w:rPr>
        <w:t xml:space="preserve">PDF</w:t>
      </w:r>
      <w:r>
        <w:rPr>
          <w:sz w:val="20"/>
          <w:szCs w:val="20"/>
        </w:rPr>
        <w:t xml:space="preserve">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6"/>
          <w:numId w:val="22"/>
        </w:numPr>
        <w:ind w:left="0" w:right="34" w:firstLine="0"/>
        <w:jc w:val="left"/>
        <w:spacing w:after="0"/>
        <w:widowControl w:val="off"/>
        <w:tabs>
          <w:tab w:val="num" w:pos="284" w:leader="none"/>
          <w:tab w:val="clear" w:pos="5040" w:leader="none"/>
        </w:tabs>
        <w:rPr>
          <w:sz w:val="20"/>
        </w:rPr>
      </w:pPr>
      <w:r>
        <w:rPr>
          <w:sz w:val="20"/>
        </w:rPr>
        <w:t xml:space="preserve">Участник указывает свое фирменное наименование (в т.ч. организационно-правовую форму) и свой адрес.</w:t>
      </w:r>
      <w:r>
        <w:rPr>
          <w:sz w:val="20"/>
        </w:rPr>
      </w:r>
      <w:r>
        <w:rPr>
          <w:sz w:val="20"/>
        </w:rPr>
      </w:r>
    </w:p>
    <w:p>
      <w:pPr>
        <w:numPr>
          <w:ilvl w:val="6"/>
          <w:numId w:val="22"/>
        </w:numPr>
        <w:ind w:left="0" w:right="34" w:firstLine="0"/>
        <w:jc w:val="left"/>
        <w:spacing w:after="0"/>
        <w:widowControl w:val="off"/>
        <w:tabs>
          <w:tab w:val="num" w:pos="284" w:leader="none"/>
          <w:tab w:val="clear" w:pos="5040" w:leader="none"/>
        </w:tabs>
        <w:rPr>
          <w:sz w:val="20"/>
          <w:highlight w:val="white"/>
        </w:rPr>
      </w:pPr>
      <w:r>
        <w:rPr>
          <w:sz w:val="20"/>
        </w:rPr>
        <w:t xml:space="preserve">В столбцах 2 и 3 в обязательном порядке размещаются все позиции и характеристики продукции, указанные в техническом задании. Если предлагаемая продукция и характеристики идентичны требуемым к постав</w:t>
      </w:r>
      <w:r>
        <w:rPr>
          <w:sz w:val="20"/>
          <w:highlight w:val="white"/>
        </w:rPr>
        <w:t xml:space="preserve">ке, заполняется столбец 4 (столбцы 5-7 в этом случае не подлежат заполнению). В случае наличия отклонения в названии либо в характеристиках продукции заполняются столбцы 5-7</w:t>
      </w:r>
      <w:r>
        <w:rPr>
          <w:sz w:val="20"/>
          <w:highlight w:val="white"/>
          <w:shd w:val="clear" w:color="ffff00" w:fill="ffff00"/>
        </w:rPr>
        <w:t xml:space="preserve">, столбец 4 не заполняется.</w:t>
      </w:r>
      <w:r>
        <w:rPr>
          <w:sz w:val="20"/>
          <w:highlight w:val="white"/>
        </w:rPr>
      </w:r>
      <w:r>
        <w:rPr>
          <w:sz w:val="20"/>
          <w:highlight w:val="white"/>
        </w:rPr>
      </w:r>
    </w:p>
    <w:p>
      <w:pPr>
        <w:numPr>
          <w:ilvl w:val="6"/>
          <w:numId w:val="22"/>
        </w:numPr>
        <w:ind w:left="0" w:right="34" w:firstLine="0"/>
        <w:jc w:val="left"/>
        <w:spacing w:after="0"/>
        <w:widowControl w:val="off"/>
        <w:tabs>
          <w:tab w:val="num" w:pos="284" w:leader="none"/>
          <w:tab w:val="clear" w:pos="5040" w:leader="none"/>
        </w:tabs>
        <w:rPr>
          <w:sz w:val="20"/>
        </w:rPr>
      </w:pPr>
      <w:r>
        <w:rPr>
          <w:sz w:val="20"/>
          <w:highlight w:val="white"/>
        </w:rPr>
        <w:t xml:space="preserve">Сводная таблица стоимости на поставку будет служить основой для подготовки приложения к Договору. В этой </w:t>
      </w:r>
      <w:r>
        <w:rPr>
          <w:sz w:val="20"/>
        </w:rPr>
        <w:t xml:space="preserve">связи в целях снижения общих затрат сил и времени Заказчика и участника на подготовку Договора данное предложение следует подготовить так, чтобы его можно было с минимальными изменениями включить в Договор.</w:t>
      </w:r>
      <w:r>
        <w:rPr>
          <w:sz w:val="20"/>
        </w:rPr>
      </w:r>
      <w:r>
        <w:rPr>
          <w:sz w:val="20"/>
        </w:rPr>
      </w:r>
    </w:p>
    <w:p>
      <w:pPr>
        <w:widowControl w:val="off"/>
      </w:pPr>
      <w:r/>
      <w:r/>
    </w:p>
    <w:p>
      <w:pPr>
        <w:widowControl w:val="off"/>
      </w:pPr>
      <w:r/>
      <w:r/>
    </w:p>
    <w:p>
      <w:pPr>
        <w:widowControl w:val="off"/>
        <w:sectPr>
          <w:footnotePr/>
          <w:endnotePr/>
          <w:type w:val="nextPage"/>
          <w:pgSz w:w="16838" w:h="11906" w:orient="landscape"/>
          <w:pgMar w:top="1134" w:right="902" w:bottom="567" w:left="1077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806"/>
        <w:ind w:left="567" w:firstLine="0"/>
        <w:pageBreakBefore/>
        <w:spacing w:after="0"/>
        <w:tabs>
          <w:tab w:val="clear" w:pos="576" w:leader="none"/>
        </w:tabs>
        <w:rPr>
          <w:caps/>
          <w:color w:val="000000" w:themeColor="text1"/>
          <w:sz w:val="24"/>
          <w:szCs w:val="24"/>
        </w:rPr>
      </w:pPr>
      <w:r/>
      <w:bookmarkStart w:id="146" w:name="_Toc59"/>
      <w:r/>
      <w:bookmarkStart w:id="147" w:name="_Ref166247657"/>
      <w:r/>
      <w:bookmarkStart w:id="148" w:name="_Ref166247661"/>
      <w:r/>
      <w:bookmarkStart w:id="149" w:name="_Ref166249240"/>
      <w:r/>
      <w:bookmarkStart w:id="150" w:name="_Ref166249243"/>
      <w:r/>
      <w:bookmarkStart w:id="151" w:name="_Ref166311450"/>
      <w:r/>
      <w:bookmarkStart w:id="152" w:name="_Ref166311452"/>
      <w:r/>
      <w:bookmarkStart w:id="153" w:name="_Ref166334805"/>
      <w:r/>
      <w:bookmarkStart w:id="154" w:name="_Ref166334809"/>
      <w:r>
        <w:rPr>
          <w:caps/>
          <w:color w:val="000000" w:themeColor="text1"/>
          <w:sz w:val="24"/>
          <w:szCs w:val="24"/>
        </w:rPr>
        <w:t xml:space="preserve">ФОРМА </w:t>
      </w:r>
      <w:r>
        <w:rPr>
          <w:caps/>
          <w:color w:val="000000" w:themeColor="text1"/>
          <w:sz w:val="24"/>
          <w:szCs w:val="24"/>
        </w:rPr>
        <w:t xml:space="preserve">6</w:t>
      </w:r>
      <w:r>
        <w:rPr>
          <w:caps/>
          <w:color w:val="000000" w:themeColor="text1"/>
          <w:sz w:val="24"/>
          <w:szCs w:val="24"/>
        </w:rPr>
        <w:t xml:space="preserve">. независимая гарантия на исполнение обязательств по договору</w:t>
      </w:r>
      <w:bookmarkEnd w:id="146"/>
      <w:r>
        <w:rPr>
          <w:caps/>
          <w:color w:val="000000" w:themeColor="text1"/>
          <w:sz w:val="24"/>
          <w:szCs w:val="24"/>
        </w:rPr>
      </w:r>
      <w:r>
        <w:rPr>
          <w:caps/>
          <w:color w:val="000000" w:themeColor="text1"/>
          <w:sz w:val="24"/>
          <w:szCs w:val="24"/>
        </w:rPr>
      </w:r>
    </w:p>
    <w:p>
      <w:pPr>
        <w:ind w:left="4962"/>
        <w:spacing w:after="0"/>
        <w:widowControl w:val="off"/>
        <w:rPr>
          <w:rFonts w:eastAsia="Calibri"/>
          <w:b/>
          <w:bCs/>
          <w:color w:val="000000" w:themeColor="text1"/>
          <w:highlight w:val="white"/>
        </w:rPr>
      </w:pPr>
      <w:r>
        <w:rPr>
          <w:rFonts w:eastAsia="Calibri"/>
          <w:b/>
          <w:bCs/>
          <w:color w:val="000000" w:themeColor="text1"/>
          <w:highlight w:val="white"/>
        </w:rPr>
      </w:r>
      <w:r>
        <w:rPr>
          <w:rFonts w:eastAsia="Calibri"/>
          <w:b/>
          <w:bCs/>
          <w:color w:val="000000" w:themeColor="text1"/>
          <w:highlight w:val="white"/>
        </w:rPr>
      </w:r>
      <w:r>
        <w:rPr>
          <w:rFonts w:eastAsia="Calibri"/>
          <w:b/>
          <w:bCs/>
          <w:color w:val="000000" w:themeColor="text1"/>
          <w:highlight w:val="white"/>
        </w:rPr>
      </w:r>
    </w:p>
    <w:p>
      <w:pPr>
        <w:jc w:val="center"/>
        <w:widowControl w:val="off"/>
        <w:rPr>
          <w:b/>
          <w:bCs/>
          <w:sz w:val="26"/>
          <w:szCs w:val="26"/>
          <w:highlight w:val="white"/>
        </w:rPr>
      </w:pPr>
      <w:r>
        <w:rPr>
          <w:b/>
          <w:bCs/>
          <w:sz w:val="26"/>
          <w:szCs w:val="26"/>
          <w:highlight w:val="white"/>
        </w:rPr>
        <w:t xml:space="preserve">НЕЗАВИСИМАЯ ГАРАНТИЯ</w:t>
      </w:r>
      <w:r>
        <w:rPr>
          <w:b/>
          <w:bCs/>
          <w:sz w:val="26"/>
          <w:szCs w:val="26"/>
          <w:highlight w:val="white"/>
        </w:rPr>
      </w:r>
      <w:r>
        <w:rPr>
          <w:b/>
          <w:bCs/>
          <w:sz w:val="26"/>
          <w:szCs w:val="26"/>
          <w:highlight w:val="white"/>
        </w:rPr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4A0" w:firstRow="1" w:lastRow="0" w:firstColumn="1" w:lastColumn="0" w:noHBand="0" w:noVBand="1"/>
      </w:tblPr>
      <w:tblGrid>
        <w:gridCol w:w="3750"/>
        <w:gridCol w:w="2700"/>
        <w:gridCol w:w="1500"/>
        <w:gridCol w:w="1548"/>
      </w:tblGrid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42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Дата выдачи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4200" w:type="dxa"/>
            <w:textDirection w:val="lrTb"/>
            <w:noWrap w:val="false"/>
          </w:tcPr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Номер независимой гарантии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1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Информация о гаранте, принципале, бенефициаре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Коды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Полное наименование гаранта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ИНН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5748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КПП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5748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БИК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1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Идентификационный код гаранта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-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Место нахождения, телефон, адрес электронной почты гаранта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ОКТМО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1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Полное наименование принципала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ИНН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2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5748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КПП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3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Место нахождения, телефон, адрес электронной почты принципала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ОКТМО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1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Полное наименование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бенефициара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ИНН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5748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КПП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Место нахождения, телефон, адрес электронной почты бенефициара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ОКТМО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widowControl w:val="off"/>
              <w:rPr>
                <w:sz w:val="2"/>
                <w:szCs w:val="2"/>
                <w:highlight w:val="white"/>
              </w:rPr>
            </w:pPr>
            <w:r>
              <w:rPr>
                <w:sz w:val="2"/>
                <w:szCs w:val="2"/>
                <w:highlight w:val="white"/>
              </w:rPr>
            </w:r>
            <w:r>
              <w:rPr>
                <w:sz w:val="2"/>
                <w:szCs w:val="2"/>
                <w:highlight w:val="white"/>
              </w:rPr>
            </w:r>
            <w:r>
              <w:rPr>
                <w:sz w:val="2"/>
                <w:szCs w:val="2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Информация о закупке, для обеспечения договора, заключаемого при осуществлении которой, предоставляется независимая гарантия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Номер извещения об осуществлении конкурентной закупки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1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Предмет договора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4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57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widowControl w:val="off"/>
              <w:rPr>
                <w:sz w:val="2"/>
                <w:szCs w:val="2"/>
                <w:highlight w:val="white"/>
              </w:rPr>
            </w:pPr>
            <w:r>
              <w:rPr>
                <w:sz w:val="2"/>
                <w:szCs w:val="2"/>
                <w:highlight w:val="white"/>
              </w:rPr>
            </w:r>
            <w:r>
              <w:rPr>
                <w:sz w:val="2"/>
                <w:szCs w:val="2"/>
                <w:highlight w:val="white"/>
              </w:rPr>
            </w:r>
            <w:r>
              <w:rPr>
                <w:sz w:val="2"/>
                <w:szCs w:val="2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Условия независимой гарантии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Сумма независимой гарантии, подлежащая уплате гарантом бенефициару (далее - сумма независимой гарантии)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Наименование валюты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 ОКВ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Срок вступления независимой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гарантии в силу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5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Срок действия независимой гарантии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5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</w:tbl>
    <w:p>
      <w:pPr>
        <w:widowControl w:val="off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1.</w:t>
      </w:r>
      <w:r>
        <w:rPr>
          <w:sz w:val="26"/>
          <w:szCs w:val="26"/>
          <w:highlight w:val="white"/>
        </w:rPr>
        <w:tab/>
        <w:t xml:space="preserve">Настоящая независимая гарантия обеспечивает исполнение принципалом его обязательств, предусмотренных договором, заключенным с бенефициаром, включающих в том числе обязательства принципала по уплате неустоек (штрафов, пеней).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2.</w:t>
      </w:r>
      <w:r>
        <w:rPr>
          <w:sz w:val="26"/>
          <w:szCs w:val="26"/>
          <w:highlight w:val="white"/>
        </w:rPr>
        <w:tab/>
        <w:t xml:space="preserve">Настоящая независимая гарантия не может быть отозвана гарантом.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3.</w:t>
      </w:r>
      <w:r>
        <w:rPr>
          <w:sz w:val="26"/>
          <w:szCs w:val="26"/>
          <w:highlight w:val="white"/>
        </w:rPr>
        <w:tab/>
        <w:t xml:space="preserve">Бенефициар в случае неисполне</w:t>
      </w:r>
      <w:r>
        <w:rPr>
          <w:sz w:val="26"/>
          <w:szCs w:val="26"/>
          <w:highlight w:val="white"/>
        </w:rPr>
        <w:t xml:space="preserve">ния или ненадлежащего исполнения принципалом обязательств, обеспеченных настоящей независимой гарантией, вправе до окончания ее срока действия предъявить требование об уплате денежной суммы по независимой гарантии (далее - требование) в размере цены догово</w:t>
      </w:r>
      <w:r>
        <w:rPr>
          <w:sz w:val="26"/>
          <w:szCs w:val="26"/>
          <w:highlight w:val="white"/>
        </w:rPr>
        <w:t xml:space="preserve">ра, уменьшенном на сумму, пропорциональную объему исполненных принципалом обязательств, предусмотренных договором, в отношении которых бенефициаром осуществлена приемка, но не превышающем размер обеспечения исполнения договора и сумму независимой гарантии.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4.</w:t>
      </w:r>
      <w:r>
        <w:rPr>
          <w:sz w:val="26"/>
          <w:szCs w:val="26"/>
          <w:highlight w:val="white"/>
        </w:rPr>
        <w:tab/>
        <w:t xml:space="preserve">Бенефициар вправе направить гаранту требование в письменной форме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бенефициара.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5.</w:t>
      </w:r>
      <w:r>
        <w:rPr>
          <w:sz w:val="26"/>
          <w:szCs w:val="26"/>
          <w:highlight w:val="white"/>
        </w:rPr>
        <w:tab/>
        <w:t xml:space="preserve">Требование в письменной форме на бумажном носителе должно быть направлено (в случае если бенефициар направляет требование гаранту в письменной форме на бумажном носителе) по адресу: ___________</w:t>
      </w:r>
      <w:r>
        <w:rPr>
          <w:sz w:val="26"/>
          <w:szCs w:val="26"/>
          <w:highlight w:val="white"/>
          <w:vertAlign w:val="superscript"/>
        </w:rPr>
        <w:t xml:space="preserve">6</w:t>
      </w:r>
      <w:r>
        <w:rPr>
          <w:sz w:val="26"/>
          <w:szCs w:val="26"/>
          <w:highlight w:val="white"/>
        </w:rPr>
        <w:t xml:space="preserve">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6.</w:t>
      </w:r>
      <w:r>
        <w:rPr>
          <w:sz w:val="26"/>
          <w:szCs w:val="26"/>
          <w:highlight w:val="white"/>
        </w:rPr>
        <w:tab/>
        <w:t xml:space="preserve">Требование в форме электронного документа должно быть направлено (в случае если бенефициар направляет требование гаранту в форме электронного документа) ________</w:t>
      </w:r>
      <w:r>
        <w:rPr>
          <w:sz w:val="26"/>
          <w:szCs w:val="26"/>
          <w:highlight w:val="white"/>
          <w:vertAlign w:val="superscript"/>
        </w:rPr>
        <w:t xml:space="preserve">7</w:t>
      </w:r>
      <w:r>
        <w:rPr>
          <w:sz w:val="26"/>
          <w:szCs w:val="26"/>
          <w:highlight w:val="white"/>
        </w:rPr>
        <w:t xml:space="preserve">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7.</w:t>
      </w:r>
      <w:r>
        <w:rPr>
          <w:sz w:val="26"/>
          <w:szCs w:val="26"/>
          <w:highlight w:val="white"/>
        </w:rPr>
        <w:tab/>
        <w:t xml:space="preserve">В случае направления требования бенефициар обязан одновременно с таким требованием направить гаранту: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284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а)</w:t>
      </w:r>
      <w:r>
        <w:rPr>
          <w:sz w:val="26"/>
          <w:szCs w:val="26"/>
          <w:highlight w:val="white"/>
        </w:rPr>
        <w:tab/>
        <w:t xml:space="preserve">расчет суммы, включаемой в требование по настоящей независимой гарантии;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284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б)</w:t>
      </w:r>
      <w:r>
        <w:rPr>
          <w:sz w:val="26"/>
          <w:szCs w:val="26"/>
          <w:highlight w:val="white"/>
        </w:rPr>
        <w:tab/>
        <w:t xml:space="preserve">документ, содержащий указание на нарушения принципалом обязательств, предусмотренных договором;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284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в)</w:t>
      </w:r>
      <w:r>
        <w:rPr>
          <w:sz w:val="26"/>
          <w:szCs w:val="26"/>
          <w:highlight w:val="white"/>
        </w:rPr>
        <w:tab/>
        <w:t xml:space="preserve">документ, подтверждающий полномочия лица, подписавшего требование по настоящей независимой гарантии от</w:t>
      </w:r>
      <w:r>
        <w:rPr>
          <w:sz w:val="26"/>
          <w:szCs w:val="26"/>
          <w:highlight w:val="white"/>
        </w:rPr>
        <w:t xml:space="preserve"> имени бенефициара (доверенность) (в случае если требование по настоящей независимой гарантии подписано лицом, не указанным в Едином государственном реестре юридических лиц в качестве лица, имеющего право без доверенности действовать от имени бенефициара).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8.</w:t>
      </w:r>
      <w:r>
        <w:rPr>
          <w:sz w:val="26"/>
          <w:szCs w:val="26"/>
          <w:highlight w:val="white"/>
        </w:rPr>
        <w:tab/>
        <w:t xml:space="preserve">В случае направления требования бенефициаром на бумажном носителе предст</w:t>
      </w:r>
      <w:r>
        <w:rPr>
          <w:sz w:val="26"/>
          <w:szCs w:val="26"/>
          <w:highlight w:val="white"/>
        </w:rPr>
        <w:t xml:space="preserve">авляются оригиналы предусмотренных пунктом 7 настоящей независимой гарантии документов или заверенные бенефициаром их копии. Если копия документа заверена лицом, не указанным в Едином государственном реестре юридических лиц в качестве лица, имеющего право </w:t>
      </w:r>
      <w:r>
        <w:rPr>
          <w:sz w:val="26"/>
          <w:szCs w:val="26"/>
          <w:highlight w:val="white"/>
        </w:rPr>
        <w:t xml:space="preserve">без доверенности действовать от имени бенефициара, также представляется документ, подтверждающий полномочия такого лица на осуществление действий от имени бенефициара. В случае направления требования в форме электронного документа предусмотренные пунктом 7</w:t>
      </w:r>
      <w:r>
        <w:rPr>
          <w:sz w:val="26"/>
          <w:szCs w:val="26"/>
          <w:highlight w:val="white"/>
        </w:rPr>
        <w:t xml:space="preserve"> настоящей независимой гарантии документы представляются в форме электронных документов или в форме электронных образов бумажных документов, подписанных усиленной квалифицированной электронной подписью лица, имеющего право действовать от имени бенефициара.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9.</w:t>
      </w:r>
      <w:r>
        <w:rPr>
          <w:sz w:val="26"/>
          <w:szCs w:val="26"/>
          <w:highlight w:val="white"/>
        </w:rPr>
        <w:tab/>
        <w:t xml:space="preserve">Гарант обязан рассмотреть требование не позднее 5 рабочих дней со дня, следующего за днем получения указанного требования и документов, предусмотренных пунктом 7 настоящей независимой гарантии 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10.</w:t>
      </w:r>
      <w:r>
        <w:rPr>
          <w:sz w:val="26"/>
          <w:szCs w:val="26"/>
          <w:highlight w:val="white"/>
        </w:rPr>
        <w:tab/>
        <w:t xml:space="preserve">Гарант обязан уплатить бенефициару денежную сумму по настоящей независимой гарантии в размере, указанном в требовании, не позднее 10 рабочих дней </w:t>
      </w:r>
      <w:r>
        <w:rPr>
          <w:sz w:val="26"/>
          <w:szCs w:val="26"/>
          <w:highlight w:val="white"/>
        </w:rPr>
        <w:t xml:space="preserve">со дня, следующего за днем получения гарантом требования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11.</w:t>
      </w:r>
      <w:r>
        <w:rPr>
          <w:sz w:val="26"/>
          <w:szCs w:val="26"/>
          <w:highlight w:val="white"/>
        </w:rPr>
        <w:tab/>
        <w:t xml:space="preserve">Обязательство гаранта перед бенефициаром считается исполненным надл</w:t>
      </w:r>
      <w:r>
        <w:rPr>
          <w:sz w:val="26"/>
          <w:szCs w:val="26"/>
          <w:highlight w:val="white"/>
        </w:rPr>
        <w:t xml:space="preserve">ежащим образом со дня поступления денежных сумм по настоящей независимой гарантии на счет, на котором в соответствии с законодательством Российской Федерации учитываются операции со средствами, поступающими бенефициару, указанный бенефициаром в требовании.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12.</w:t>
      </w:r>
      <w:r>
        <w:rPr>
          <w:sz w:val="26"/>
          <w:szCs w:val="26"/>
          <w:highlight w:val="white"/>
        </w:rPr>
        <w:tab/>
        <w:t xml:space="preserve">Гарант в случае просрочки исполнения обя</w:t>
      </w:r>
      <w:r>
        <w:rPr>
          <w:sz w:val="26"/>
          <w:szCs w:val="26"/>
          <w:highlight w:val="white"/>
        </w:rPr>
        <w:t xml:space="preserve">зательств по настоящей независимой гарантии, требование по которой соответствует условиям настоящей независимой гарантии и предъявлено бенефициаром до окончания срока ее действия, обязан за каждый день просрочки (начиная со дня, следующего за днем истечени</w:t>
      </w:r>
      <w:r>
        <w:rPr>
          <w:sz w:val="26"/>
          <w:szCs w:val="26"/>
          <w:highlight w:val="white"/>
        </w:rPr>
        <w:t xml:space="preserve">я установленного настоящей независимой гарантией срока оплаты требования, по день исполнения гарантом требования включительно) уплатить бенефициару неустойку (пени) в размере 0,1 процента денежной суммы, подлежащей уплате по настоящей независимой гарантии.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13.</w:t>
      </w:r>
      <w:r>
        <w:rPr>
          <w:sz w:val="26"/>
          <w:szCs w:val="26"/>
          <w:highlight w:val="white"/>
        </w:rPr>
        <w:tab/>
        <w:t xml:space="preserve">Все расходы, возникающие в связи с перечислением гарантом денежных средств по настоящей независимой гарантии бенефициару, несет гарант.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14.</w:t>
      </w:r>
      <w:r>
        <w:rPr>
          <w:sz w:val="26"/>
          <w:szCs w:val="26"/>
          <w:highlight w:val="white"/>
        </w:rPr>
        <w:tab/>
        <w:t xml:space="preserve">Исключение банка (если настоящая независимая гарантия выдана банко</w:t>
      </w:r>
      <w:r>
        <w:rPr>
          <w:sz w:val="26"/>
          <w:szCs w:val="26"/>
          <w:highlight w:val="white"/>
        </w:rPr>
        <w:t xml:space="preserve">м) из перечня, предусмотренного частью 1.2 статьи 45 Федерального закона «О контрактной системе в сфере закупок товаров, работ, услуг для обеспечения государственных и муниципальных нужд», фонда содействия кредитованию (гарантийного фонда, фонда поручитель</w:t>
      </w:r>
      <w:r>
        <w:rPr>
          <w:sz w:val="26"/>
          <w:szCs w:val="26"/>
          <w:highlight w:val="white"/>
        </w:rPr>
        <w:t xml:space="preserve">ств), являющегося участником национальной гарантийной системы поддержки малого и среднего предпринимательства, предусмотренного Федеральным законом «О развитии малого и среднего предпринимательства в Российской Федерации» (если независимая гарантия выдана </w:t>
      </w:r>
      <w:r>
        <w:rPr>
          <w:sz w:val="26"/>
          <w:szCs w:val="26"/>
          <w:highlight w:val="white"/>
        </w:rPr>
        <w:t xml:space="preserve">таким фондом), из перечня, предусмотренного частью 1.7 указанной статьи ,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15.</w:t>
      </w:r>
      <w:r>
        <w:rPr>
          <w:sz w:val="26"/>
          <w:szCs w:val="26"/>
          <w:highlight w:val="white"/>
        </w:rPr>
        <w:tab/>
        <w:t xml:space="preserve">Споры, возникающие в связи с исполнением обязательств по настоящей независимой гарантии, подлежат </w:t>
      </w:r>
      <w:r>
        <w:rPr>
          <w:sz w:val="26"/>
          <w:szCs w:val="26"/>
          <w:highlight w:val="white"/>
        </w:rPr>
        <w:t xml:space="preserve">рассмотрению в арбитражном суде Республики Тыва.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16.</w:t>
      </w:r>
      <w:r>
        <w:rPr>
          <w:sz w:val="26"/>
          <w:szCs w:val="26"/>
          <w:highlight w:val="white"/>
        </w:rPr>
        <w:tab/>
        <w:t xml:space="preserve">Настоящая независимая гарантия выдана в пользу бенефициара, и права требования по ней не мог</w:t>
      </w:r>
      <w:r>
        <w:rPr>
          <w:sz w:val="26"/>
          <w:szCs w:val="26"/>
          <w:highlight w:val="white"/>
        </w:rPr>
        <w:t xml:space="preserve">ут быть переданы третьему лицу без согласия гаранта, за исключением случая перемены заказчика при осуществлении закупки, при котором право требования по независимой гарантии может быть передано новому заказчику с предварительным извещением об этом гаранта.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17.</w:t>
      </w:r>
      <w:r>
        <w:rPr>
          <w:sz w:val="26"/>
          <w:szCs w:val="26"/>
          <w:highlight w:val="white"/>
        </w:rPr>
        <w:tab/>
        <w:t xml:space="preserve">Настоящая независимая гарантия вступает в силу, обязанности по договору предоставления настоящей независимой гарантии подлежат исполнению</w:t>
      </w:r>
      <w:r>
        <w:rPr>
          <w:sz w:val="26"/>
          <w:szCs w:val="26"/>
          <w:highlight w:val="white"/>
          <w:vertAlign w:val="superscript"/>
        </w:rPr>
        <w:t xml:space="preserve">8-1</w:t>
      </w:r>
      <w:r>
        <w:rPr>
          <w:sz w:val="26"/>
          <w:szCs w:val="26"/>
          <w:highlight w:val="white"/>
        </w:rPr>
        <w:t xml:space="preserve"> со дня заключения договора, для обеспечения исполнения которого выдана настоящая независимая гарантия.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18.</w:t>
      </w:r>
      <w:r>
        <w:rPr>
          <w:sz w:val="26"/>
          <w:szCs w:val="26"/>
          <w:highlight w:val="white"/>
        </w:rPr>
        <w:tab/>
        <w:t xml:space="preserve">Настоящая независимая гарантия представлена в рамках договора _________ (</w:t>
      </w:r>
      <w:r>
        <w:rPr>
          <w:i/>
          <w:sz w:val="26"/>
          <w:szCs w:val="26"/>
          <w:highlight w:val="white"/>
        </w:rPr>
        <w:t xml:space="preserve">указывается дата, номер договора</w:t>
      </w:r>
      <w:r>
        <w:rPr>
          <w:sz w:val="26"/>
          <w:szCs w:val="26"/>
          <w:highlight w:val="white"/>
        </w:rPr>
        <w:t xml:space="preserve">)* (*</w:t>
      </w:r>
      <w:r>
        <w:rPr>
          <w:bCs/>
          <w:i/>
          <w:sz w:val="26"/>
          <w:szCs w:val="26"/>
          <w:highlight w:val="white"/>
        </w:rPr>
        <w:t xml:space="preserve">включается в текст независимой гарантии в случае пролонгации независимой гарантии/предоставления независимой гарантии после заключения договора).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rPr>
          <w:bCs/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</w:rPr>
        <w:t xml:space="preserve">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договору* (*</w:t>
      </w:r>
      <w:r>
        <w:rPr>
          <w:bCs/>
          <w:i/>
          <w:sz w:val="26"/>
          <w:szCs w:val="26"/>
          <w:highlight w:val="white"/>
        </w:rPr>
        <w:t xml:space="preserve">включается в текст независимой гарантии, если независимая гарантия выдана только во исполнение обязательств контрагента</w:t>
      </w:r>
      <w:r>
        <w:rPr>
          <w:bCs/>
          <w:sz w:val="26"/>
          <w:szCs w:val="26"/>
          <w:highlight w:val="white"/>
        </w:rPr>
        <w:t xml:space="preserve">).</w:t>
      </w:r>
      <w:r>
        <w:rPr>
          <w:bCs/>
          <w:sz w:val="26"/>
          <w:szCs w:val="26"/>
          <w:highlight w:val="white"/>
        </w:rPr>
      </w:r>
      <w:r>
        <w:rPr>
          <w:bCs/>
          <w:sz w:val="26"/>
          <w:szCs w:val="26"/>
          <w:highlight w:val="white"/>
        </w:rPr>
      </w:r>
    </w:p>
    <w:p>
      <w:pPr>
        <w:widowControl w:val="off"/>
        <w:rPr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</w:rPr>
        <w:t xml:space="preserve">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</w:t>
      </w:r>
      <w:r>
        <w:rPr>
          <w:sz w:val="26"/>
          <w:szCs w:val="26"/>
          <w:highlight w:val="white"/>
        </w:rPr>
        <w:t xml:space="preserve">* (</w:t>
      </w:r>
      <w:r>
        <w:rPr>
          <w:bCs/>
          <w:sz w:val="26"/>
          <w:szCs w:val="26"/>
          <w:highlight w:val="white"/>
        </w:rPr>
        <w:t xml:space="preserve">*</w:t>
      </w:r>
      <w:r>
        <w:rPr>
          <w:bCs/>
          <w:i/>
          <w:sz w:val="26"/>
          <w:szCs w:val="26"/>
          <w:highlight w:val="white"/>
        </w:rPr>
        <w:t xml:space="preserve">включается в текст независимой гарантии, если независимая гарантия выдана только во исполнение обязательств контрагента по возврату авансовых платежей</w:t>
      </w:r>
      <w:r>
        <w:rPr>
          <w:bCs/>
          <w:sz w:val="26"/>
          <w:szCs w:val="26"/>
          <w:highlight w:val="white"/>
        </w:rPr>
        <w:t xml:space="preserve">).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rPr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</w:rPr>
        <w:t xml:space="preserve">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договору, включающих</w:t>
      </w:r>
      <w:r>
        <w:rPr>
          <w:sz w:val="26"/>
          <w:szCs w:val="26"/>
          <w:highlight w:val="white"/>
        </w:rPr>
        <w:t xml:space="preserve"> в том числе обязательства принципала </w:t>
      </w:r>
      <w:r>
        <w:rPr>
          <w:bCs/>
          <w:sz w:val="26"/>
          <w:szCs w:val="26"/>
          <w:highlight w:val="white"/>
        </w:rPr>
        <w:t xml:space="preserve">по возврату авансовой задолженности в установленный договором срок</w:t>
      </w:r>
      <w:r>
        <w:rPr>
          <w:sz w:val="26"/>
          <w:szCs w:val="26"/>
          <w:highlight w:val="white"/>
        </w:rPr>
        <w:t xml:space="preserve">* (</w:t>
      </w:r>
      <w:r>
        <w:rPr>
          <w:bCs/>
          <w:sz w:val="26"/>
          <w:szCs w:val="26"/>
          <w:highlight w:val="white"/>
        </w:rPr>
        <w:t xml:space="preserve">*</w:t>
      </w:r>
      <w:r>
        <w:rPr>
          <w:bCs/>
          <w:i/>
          <w:sz w:val="26"/>
          <w:szCs w:val="26"/>
          <w:highlight w:val="white"/>
        </w:rPr>
        <w:t xml:space="preserve">включается в текст гарантии, если гарантия выдана во исполнение обязательств контрагента, включая обязательства по возврату авансовых платежей</w:t>
      </w:r>
      <w:r>
        <w:rPr>
          <w:bCs/>
          <w:sz w:val="26"/>
          <w:szCs w:val="26"/>
          <w:highlight w:val="white"/>
        </w:rPr>
        <w:t xml:space="preserve">).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rPr>
          <w:bCs/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</w:rPr>
        <w:t xml:space="preserve">Настоящая независимая гарантия может быть изменена гарантом с письменного согласия бенефициара. Все изменения к настоящей независимой гарантии должны быть оформлены в виде письменного документа - изменения к независимой гарантии. </w:t>
      </w:r>
      <w:r>
        <w:rPr>
          <w:bCs/>
          <w:sz w:val="26"/>
          <w:szCs w:val="26"/>
          <w:highlight w:val="white"/>
        </w:rPr>
      </w:r>
      <w:r>
        <w:rPr>
          <w:bCs/>
          <w:sz w:val="26"/>
          <w:szCs w:val="26"/>
          <w:highlight w:val="white"/>
        </w:rPr>
      </w:r>
    </w:p>
    <w:p>
      <w:pPr>
        <w:widowControl w:val="off"/>
        <w:rPr>
          <w:bCs/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</w:rPr>
        <w:t xml:space="preserve">Письменное согласие бенефициара на изменение соответствующих услов</w:t>
      </w:r>
      <w:r>
        <w:rPr>
          <w:bCs/>
          <w:sz w:val="26"/>
          <w:szCs w:val="26"/>
          <w:highlight w:val="white"/>
        </w:rPr>
        <w:t xml:space="preserve">ий настоящей независимой гарантии направляется гаранту до внесения изменений в независимую гарантию. Изменения в условия независимой гарантии вступают в силу с даты их выпуска гарантом, если иной момент вступления их в силу не определен в таких изменениях.</w:t>
      </w:r>
      <w:r>
        <w:rPr>
          <w:bCs/>
          <w:sz w:val="26"/>
          <w:szCs w:val="26"/>
          <w:highlight w:val="white"/>
        </w:rPr>
      </w:r>
      <w:r>
        <w:rPr>
          <w:bCs/>
          <w:sz w:val="26"/>
          <w:szCs w:val="26"/>
          <w:highlight w:val="white"/>
        </w:rPr>
      </w:r>
    </w:p>
    <w:p>
      <w:pPr>
        <w:widowControl w:val="off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Гарант передает сведения о принципале, определенные ст. 4 Федерального закона от 30.12.200</w:t>
      </w:r>
      <w:r>
        <w:rPr>
          <w:sz w:val="26"/>
          <w:szCs w:val="26"/>
          <w:highlight w:val="white"/>
        </w:rPr>
        <w:t xml:space="preserve">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согласий принципала на их представление в соответствии с требованиями ч. 3.1 и ч. 4 ст. 5 указанного Закона.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Действие настоящей независимой гарантии регулируется законодательством Российской Федерации.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4A0" w:firstRow="1" w:lastRow="0" w:firstColumn="1" w:lastColumn="0" w:noHBand="0" w:noVBand="1"/>
      </w:tblPr>
      <w:tblGrid>
        <w:gridCol w:w="300"/>
        <w:gridCol w:w="600"/>
        <w:gridCol w:w="300"/>
        <w:gridCol w:w="750"/>
        <w:gridCol w:w="450"/>
        <w:gridCol w:w="450"/>
        <w:gridCol w:w="450"/>
        <w:gridCol w:w="1650"/>
        <w:gridCol w:w="210"/>
        <w:gridCol w:w="1800"/>
        <w:gridCol w:w="300"/>
        <w:gridCol w:w="750"/>
        <w:gridCol w:w="1350"/>
      </w:tblGrid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Уполномоченное лицо гаранта, действующее на основании _______________ (</w:t>
            </w:r>
            <w:r>
              <w:rPr>
                <w:rStyle w:val="1164"/>
                <w:i/>
                <w:sz w:val="26"/>
                <w:szCs w:val="26"/>
                <w:highlight w:val="white"/>
              </w:rPr>
              <w:t xml:space="preserve">наименование и реквизиты документа</w:t>
            </w:r>
            <w:r>
              <w:rPr>
                <w:sz w:val="26"/>
                <w:szCs w:val="26"/>
                <w:highlight w:val="white"/>
              </w:rPr>
              <w:t xml:space="preserve">)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8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1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(должность) 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800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(подпись) 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100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(расшифровка подписи) 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8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7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3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«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6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»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4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20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4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4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г.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8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3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8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7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3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850" w:type="dxa"/>
            <w:textDirection w:val="lrTb"/>
            <w:noWrap w:val="false"/>
          </w:tcPr>
          <w:p>
            <w:pPr>
              <w:ind w:right="185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Лист №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3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850" w:type="dxa"/>
            <w:textDirection w:val="lrTb"/>
            <w:noWrap w:val="false"/>
          </w:tcPr>
          <w:p>
            <w:pPr>
              <w:ind w:right="185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Всего листов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3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</w:tbl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________________ 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1 </w:t>
      </w:r>
      <w:r>
        <w:rPr>
          <w:sz w:val="20"/>
          <w:szCs w:val="20"/>
          <w:highlight w:val="white"/>
        </w:rPr>
        <w:t xml:space="preserve">Указывается при наличии.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2 </w:t>
      </w:r>
      <w:r>
        <w:rPr>
          <w:spacing w:val="-4"/>
          <w:sz w:val="20"/>
          <w:szCs w:val="20"/>
          <w:highlight w:val="white"/>
        </w:rPr>
        <w:t xml:space="preserve">В случае отсутствия у иностранного лица </w:t>
      </w:r>
      <w:r>
        <w:rPr>
          <w:spacing w:val="-4"/>
          <w:sz w:val="20"/>
          <w:szCs w:val="20"/>
          <w:highlight w:val="white"/>
        </w:rPr>
        <w:t xml:space="preserve">идентификационного номера налогоплательщика, присвоенного в соответствии с законодательством Российской Федерации о налогах и сборах, указывается аналог идентификационного номера налогоплательщика в соответствии с законодательством иностранного государства</w:t>
      </w:r>
      <w:r>
        <w:rPr>
          <w:sz w:val="20"/>
          <w:szCs w:val="20"/>
          <w:highlight w:val="white"/>
        </w:rPr>
        <w:t xml:space="preserve">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3 </w:t>
      </w:r>
      <w:r>
        <w:rPr>
          <w:sz w:val="20"/>
          <w:szCs w:val="20"/>
          <w:highlight w:val="white"/>
        </w:rPr>
        <w:t xml:space="preserve">Указывается, если принципал является юридическим лицом, аккредитованным филиалом или представительством иностранного юридического лица. 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4 </w:t>
      </w:r>
      <w:r>
        <w:rPr>
          <w:sz w:val="20"/>
          <w:szCs w:val="20"/>
          <w:highlight w:val="white"/>
        </w:rPr>
        <w:t xml:space="preserve">Указывается в соответствии с извещением об осуществлении конкурентной закупки.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5 </w:t>
      </w:r>
      <w:r>
        <w:rPr>
          <w:spacing w:val="-4"/>
          <w:sz w:val="20"/>
          <w:szCs w:val="20"/>
          <w:highlight w:val="white"/>
        </w:rPr>
        <w:t xml:space="preserve">Указывается срок, определяемый календарной датой или истечением периода времени, который исчисляется годами, месяцами, неделями, днями или часами. Такой срок может определяться также указанием на соб</w:t>
      </w:r>
      <w:r>
        <w:rPr>
          <w:spacing w:val="-4"/>
          <w:sz w:val="20"/>
          <w:szCs w:val="20"/>
          <w:highlight w:val="white"/>
        </w:rPr>
        <w:t xml:space="preserve">ытие. Указываемый срок действия независимой гарантии должен превышать предусмотренный договором срок исполнения основного обязательства, которое должно быть обеспечено такой независимой гарантией, не менее чем на 60 дней, в том числе в случае его изменения</w:t>
      </w:r>
      <w:r>
        <w:rPr>
          <w:spacing w:val="-4"/>
          <w:sz w:val="20"/>
          <w:szCs w:val="20"/>
          <w:highlight w:val="white"/>
        </w:rPr>
        <w:t xml:space="preserve">. В случае предоставления независимой гарантии до даты заключения договора, в разделе «Срок вступления независимой гарантии в силу» указывается событие: «со дня заключения договора, для обеспечения исполнения которого выдана настоящая независимая гарантия»</w:t>
      </w:r>
      <w:r>
        <w:rPr>
          <w:sz w:val="20"/>
          <w:szCs w:val="20"/>
          <w:highlight w:val="white"/>
        </w:rPr>
        <w:t xml:space="preserve">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6 </w:t>
      </w:r>
      <w:r>
        <w:rPr>
          <w:sz w:val="20"/>
          <w:szCs w:val="20"/>
          <w:highlight w:val="white"/>
        </w:rPr>
        <w:t xml:space="preserve">Указывается почтовый адрес.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7</w:t>
      </w:r>
      <w:r>
        <w:rPr>
          <w:sz w:val="20"/>
          <w:szCs w:val="20"/>
          <w:highlight w:val="white"/>
        </w:rPr>
        <w:t xml:space="preserve">Указываются адрес электронной почты и (или) наименование информационной системы.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61"/>
        <w:jc w:val="both"/>
        <w:rPr>
          <w:rStyle w:val="1108"/>
          <w:bCs w:val="0"/>
          <w:caps/>
          <w:sz w:val="28"/>
          <w:szCs w:val="28"/>
        </w:rPr>
      </w:pPr>
      <w:r>
        <w:rPr>
          <w:rStyle w:val="1164"/>
          <w:rFonts w:ascii="Times New Roman" w:hAnsi="Times New Roman" w:cs="Times New Roman"/>
          <w:highlight w:val="white"/>
          <w:vertAlign w:val="superscript"/>
        </w:rPr>
        <w:t xml:space="preserve">8-1</w:t>
      </w:r>
      <w:r>
        <w:rPr>
          <w:rStyle w:val="1164"/>
          <w:rFonts w:ascii="Times New Roman" w:hAnsi="Times New Roman" w:cs="Times New Roman"/>
          <w:highlight w:val="white"/>
        </w:rPr>
        <w:t xml:space="preserve">Слова «обязанности по договору предоставления настоящей независимой гарантии подлежат исполнению» указываются в случае заключения гарантом и принципалом такого договора.</w:t>
      </w:r>
      <w:r>
        <w:rPr>
          <w:rStyle w:val="1108"/>
          <w:b w:val="0"/>
          <w:caps/>
          <w:sz w:val="28"/>
          <w:szCs w:val="28"/>
        </w:rPr>
        <w:br w:type="page" w:clear="all"/>
      </w:r>
      <w:r>
        <w:rPr>
          <w:rStyle w:val="1108"/>
          <w:bCs w:val="0"/>
          <w:caps/>
          <w:sz w:val="28"/>
          <w:szCs w:val="28"/>
        </w:rPr>
      </w:r>
      <w:r>
        <w:rPr>
          <w:rStyle w:val="1108"/>
          <w:bCs w:val="0"/>
          <w:caps/>
          <w:sz w:val="28"/>
          <w:szCs w:val="28"/>
        </w:rPr>
      </w:r>
    </w:p>
    <w:p>
      <w:pPr>
        <w:pStyle w:val="805"/>
        <w:numPr>
          <w:ilvl w:val="0"/>
          <w:numId w:val="6"/>
        </w:numPr>
        <w:ind w:left="0" w:firstLine="567"/>
        <w:pageBreakBefore/>
        <w:spacing w:before="0" w:after="0"/>
        <w:rPr>
          <w:rStyle w:val="1108"/>
          <w:b/>
          <w:caps/>
          <w:sz w:val="24"/>
          <w:szCs w:val="24"/>
        </w:rPr>
      </w:pPr>
      <w:r/>
      <w:bookmarkStart w:id="155" w:name="_Toc61"/>
      <w:r>
        <w:rPr>
          <w:rStyle w:val="1108"/>
          <w:b/>
          <w:caps/>
          <w:sz w:val="24"/>
          <w:szCs w:val="24"/>
        </w:rPr>
        <w:t xml:space="preserve">ПРОЕКТ ДОГОВОРА</w:t>
      </w:r>
      <w:bookmarkEnd w:id="147"/>
      <w:r/>
      <w:bookmarkEnd w:id="148"/>
      <w:r/>
      <w:bookmarkEnd w:id="149"/>
      <w:r/>
      <w:bookmarkEnd w:id="150"/>
      <w:r/>
      <w:bookmarkEnd w:id="151"/>
      <w:r/>
      <w:bookmarkEnd w:id="152"/>
      <w:r/>
      <w:bookmarkEnd w:id="153"/>
      <w:r/>
      <w:bookmarkEnd w:id="154"/>
      <w:r/>
      <w:bookmarkEnd w:id="155"/>
      <w:r>
        <w:rPr>
          <w:rStyle w:val="1108"/>
          <w:b/>
          <w:caps/>
          <w:sz w:val="24"/>
          <w:szCs w:val="24"/>
        </w:rPr>
      </w:r>
      <w:r>
        <w:rPr>
          <w:rStyle w:val="1108"/>
          <w:b/>
          <w:caps/>
          <w:sz w:val="24"/>
          <w:szCs w:val="24"/>
        </w:rPr>
      </w:r>
    </w:p>
    <w:p>
      <w:pPr>
        <w:pStyle w:val="991"/>
        <w:ind w:left="720"/>
        <w:jc w:val="both"/>
        <w:tabs>
          <w:tab w:val="left" w:pos="0" w:leader="none"/>
        </w:tabs>
        <w:rPr>
          <w:rFonts w:ascii="Times New Roman" w:hAnsi="Times New Roman"/>
          <w:b w:val="0"/>
          <w:sz w:val="24"/>
          <w:szCs w:val="24"/>
        </w:rPr>
      </w:pPr>
      <w:r/>
      <w:bookmarkStart w:id="156" w:name="_Toc62"/>
      <w:r>
        <w:rPr>
          <w:rFonts w:ascii="Times New Roman" w:hAnsi="Times New Roman"/>
          <w:b w:val="0"/>
          <w:sz w:val="24"/>
          <w:szCs w:val="24"/>
        </w:rPr>
        <w:t xml:space="preserve">В соответствии с Приложением № 1 к документации о закупке.</w:t>
      </w:r>
      <w:bookmarkEnd w:id="156"/>
      <w:r>
        <w:rPr>
          <w:rFonts w:ascii="Times New Roman" w:hAnsi="Times New Roman"/>
          <w:b w:val="0"/>
          <w:sz w:val="24"/>
          <w:szCs w:val="24"/>
        </w:rPr>
      </w:r>
      <w:r>
        <w:rPr>
          <w:rFonts w:ascii="Times New Roman" w:hAnsi="Times New Roman"/>
          <w:b w:val="0"/>
          <w:sz w:val="24"/>
          <w:szCs w:val="24"/>
        </w:rPr>
      </w:r>
    </w:p>
    <w:p>
      <w:r/>
      <w:r/>
    </w:p>
    <w:p>
      <w:pPr>
        <w:jc w:val="left"/>
        <w:spacing w:after="0"/>
        <w:rPr>
          <w:bCs/>
        </w:rPr>
      </w:pPr>
      <w:r>
        <w:rPr>
          <w:rStyle w:val="1108"/>
          <w:b w:val="0"/>
          <w:caps/>
          <w:sz w:val="28"/>
          <w:szCs w:val="28"/>
        </w:rPr>
        <w:br w:type="page" w:clear="all"/>
      </w:r>
      <w:r>
        <w:rPr>
          <w:bCs/>
        </w:rPr>
      </w:r>
      <w:r>
        <w:rPr>
          <w:bCs/>
        </w:rPr>
      </w:r>
    </w:p>
    <w:p>
      <w:pPr>
        <w:pStyle w:val="805"/>
        <w:numPr>
          <w:ilvl w:val="0"/>
          <w:numId w:val="6"/>
        </w:numPr>
        <w:ind w:left="0" w:firstLine="567"/>
        <w:spacing w:before="0" w:after="0"/>
        <w:rPr>
          <w:rStyle w:val="1108"/>
          <w:b/>
          <w:sz w:val="24"/>
          <w:szCs w:val="24"/>
        </w:rPr>
      </w:pPr>
      <w:r/>
      <w:bookmarkStart w:id="157" w:name="_Ref166247676"/>
      <w:r/>
      <w:bookmarkStart w:id="158" w:name="_Toc63"/>
      <w:r>
        <w:rPr>
          <w:rStyle w:val="1108"/>
          <w:b/>
          <w:sz w:val="24"/>
          <w:szCs w:val="24"/>
        </w:rPr>
        <w:t xml:space="preserve">ТЕХНИЧЕСКАЯ ЧАСТЬ</w:t>
      </w:r>
      <w:bookmarkEnd w:id="157"/>
      <w:r/>
      <w:bookmarkEnd w:id="158"/>
      <w:r>
        <w:rPr>
          <w:rStyle w:val="1108"/>
          <w:b/>
          <w:sz w:val="24"/>
          <w:szCs w:val="24"/>
        </w:rPr>
      </w:r>
      <w:r>
        <w:rPr>
          <w:rStyle w:val="1108"/>
          <w:b/>
          <w:sz w:val="24"/>
          <w:szCs w:val="24"/>
        </w:rPr>
      </w:r>
    </w:p>
    <w:p>
      <w:r/>
      <w:r/>
    </w:p>
    <w:p>
      <w:r>
        <w:t xml:space="preserve">В соответствии с Приложением № 2 к документации о закупке.</w:t>
      </w:r>
      <w:r/>
    </w:p>
    <w:p>
      <w:pPr>
        <w:jc w:val="left"/>
        <w:spacing w:after="0"/>
        <w:rPr>
          <w:highlight w:val="yellow"/>
        </w:rPr>
      </w:pPr>
      <w:r>
        <w:rPr>
          <w:highlight w:val="yellow"/>
        </w:rPr>
        <w:br w:type="page" w:clear="all"/>
      </w:r>
      <w:r>
        <w:rPr>
          <w:highlight w:val="yellow"/>
        </w:rPr>
      </w:r>
      <w:r>
        <w:rPr>
          <w:highlight w:val="yellow"/>
        </w:rPr>
      </w:r>
    </w:p>
    <w:p>
      <w:pPr>
        <w:pStyle w:val="805"/>
        <w:numPr>
          <w:ilvl w:val="0"/>
          <w:numId w:val="6"/>
        </w:numPr>
        <w:ind w:left="0" w:firstLine="567"/>
        <w:spacing w:before="0" w:after="0"/>
        <w:rPr>
          <w:rStyle w:val="1108"/>
          <w:b/>
          <w:sz w:val="24"/>
          <w:szCs w:val="24"/>
        </w:rPr>
      </w:pPr>
      <w:r/>
      <w:bookmarkStart w:id="159" w:name="_Toc64"/>
      <w:r>
        <w:rPr>
          <w:rStyle w:val="1108"/>
          <w:b/>
          <w:sz w:val="24"/>
          <w:szCs w:val="24"/>
        </w:rPr>
        <w:t xml:space="preserve">ОБОСНОВАНИЕ НАЧАЛЬНОЙ (МАКСИМАЛЬНОЙ) ЦЕНЫ ДОГОВОРА</w:t>
      </w:r>
      <w:bookmarkEnd w:id="159"/>
      <w:r>
        <w:rPr>
          <w:rStyle w:val="1108"/>
          <w:b/>
          <w:sz w:val="24"/>
          <w:szCs w:val="24"/>
        </w:rPr>
      </w:r>
      <w:r>
        <w:rPr>
          <w:rStyle w:val="1108"/>
          <w:b/>
          <w:sz w:val="24"/>
          <w:szCs w:val="24"/>
        </w:rPr>
      </w:r>
    </w:p>
    <w:p>
      <w:r/>
      <w:r/>
    </w:p>
    <w:p>
      <w:r>
        <w:t xml:space="preserve">В соответствии с Приложением № 3 к документации о закупке.</w:t>
      </w:r>
      <w:r/>
    </w:p>
    <w:p>
      <w:r/>
      <w:r/>
    </w:p>
    <w:sectPr>
      <w:footnotePr/>
      <w:endnotePr/>
      <w:type w:val="nextPage"/>
      <w:pgSz w:w="11906" w:h="16838" w:orient="portrait"/>
      <w:pgMar w:top="902" w:right="567" w:bottom="1077" w:left="1134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  <w:p>
      <w:r/>
      <w:r/>
    </w:p>
  </w:endnote>
  <w:endnote w:type="continuationSeparator" w:id="0">
    <w:p>
      <w:r>
        <w:continuationSeparator/>
      </w:r>
      <w:r/>
    </w:p>
    <w:p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 Math">
    <w:panose1 w:val="02040503050406030204"/>
  </w:font>
  <w:font w:name="Arial (WT)">
    <w:panose1 w:val="020B0604020202020204"/>
  </w:font>
  <w:font w:name="Wingdings">
    <w:panose1 w:val="05000000000000000000"/>
  </w:font>
  <w:font w:name="Symbol">
    <w:panose1 w:val="05050102010706020507"/>
  </w:font>
  <w:font w:name="MS Mincho">
    <w:panose1 w:val="02020503050405090304"/>
  </w:font>
  <w:font w:name="Courier New">
    <w:panose1 w:val="02070309020205020404"/>
  </w:font>
  <w:font w:name="TimesDL">
    <w:panose1 w:val="02020603050405020304"/>
  </w:font>
  <w:font w:name="Courier">
    <w:panose1 w:val="02060409020205020404"/>
  </w:font>
  <w:font w:name="Cambria">
    <w:panose1 w:val="02040503050406030204"/>
  </w:font>
  <w:font w:name="Times New Roman">
    <w:panose1 w:val="02020603050405020304"/>
  </w:font>
  <w:font w:name="Arial Narrow">
    <w:panose1 w:val="020B06060202020302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17"/>
      <w:rPr>
        <w:rStyle w:val="1016"/>
      </w:rPr>
      <w:framePr w:wrap="auto" w:vAnchor="text" w:hAnchor="margin" w:xAlign="right" w:y="1"/>
    </w:pPr>
    <w:r>
      <w:rPr>
        <w:rStyle w:val="1016"/>
      </w:rPr>
      <w:fldChar w:fldCharType="begin"/>
    </w:r>
    <w:r>
      <w:rPr>
        <w:rStyle w:val="1016"/>
      </w:rPr>
      <w:instrText xml:space="preserve">PAGE  </w:instrText>
    </w:r>
    <w:r>
      <w:rPr>
        <w:rStyle w:val="1016"/>
      </w:rPr>
      <w:fldChar w:fldCharType="separate"/>
    </w:r>
    <w:r>
      <w:rPr>
        <w:rStyle w:val="1016"/>
      </w:rPr>
      <w:t xml:space="preserve">21</w:t>
    </w:r>
    <w:r>
      <w:rPr>
        <w:rStyle w:val="1016"/>
      </w:rPr>
      <w:fldChar w:fldCharType="end"/>
    </w:r>
    <w:r>
      <w:rPr>
        <w:rStyle w:val="1016"/>
      </w:rPr>
    </w:r>
    <w:r>
      <w:rPr>
        <w:rStyle w:val="1016"/>
      </w:rPr>
    </w:r>
  </w:p>
  <w:p>
    <w:pPr>
      <w:pStyle w:val="1017"/>
      <w:ind w:right="360"/>
      <w:jc w:val="center"/>
      <w:tabs>
        <w:tab w:val="right" w:pos="9840" w:leader="none"/>
      </w:tabs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977737762"/>
      <w:docPartObj>
        <w:docPartGallery w:val="Page Numbers (Bottom of Page)"/>
        <w:docPartUnique w:val="true"/>
      </w:docPartObj>
      <w:rPr/>
    </w:sdtPr>
    <w:sdtContent>
      <w:p>
        <w:pPr>
          <w:pStyle w:val="1017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1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  <w:p>
      <w:r/>
      <w:r/>
    </w:p>
  </w:footnote>
  <w:footnote w:type="continuationSeparator" w:id="0">
    <w:p>
      <w:r>
        <w:continuationSeparator/>
      </w:r>
      <w:r/>
    </w:p>
    <w:p>
      <w:r/>
      <w:r/>
    </w:p>
  </w:footnote>
  <w:footnote w:id="2">
    <w:p>
      <w:pPr>
        <w:pStyle w:val="1014"/>
      </w:pPr>
      <w:r>
        <w:rPr>
          <w:rStyle w:val="1013"/>
        </w:rPr>
        <w:footnoteRef/>
      </w:r>
      <w:r>
        <w:t xml:space="preserve"> В случае подачи заявки от коллективного участника информация об участнике заполняется в отношении каждого члена к</w:t>
      </w:r>
      <w:r>
        <w:t xml:space="preserve">оллективного участника.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требованиям, установленным пунктом 9 части 19.1 статьи 3.4 Закона 223-ФЗ.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103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82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4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6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8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0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2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4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63" w:hanging="180"/>
      </w:pPr>
    </w:lvl>
  </w:abstractNum>
  <w:abstractNum w:abstractNumId="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</w:pPr>
      <w:rPr>
        <w:rFonts w:hint="default" w:ascii="Symbol" w:hAnsi="Symbol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54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7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9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1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3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5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7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9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14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07" w:hanging="840"/>
      </w:pPr>
      <w:rPr>
        <w:sz w:val="22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sz w:val="24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sz w:val="24"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sz w:val="24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sz w:val="24"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sz w:val="24"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sz w:val="24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sz w:val="24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sz w:val="24"/>
      </w:rPr>
    </w:lvl>
  </w:abstractNum>
  <w:abstractNum w:abstractNumId="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432" w:hanging="432"/>
        <w:tabs>
          <w:tab w:val="num" w:pos="432" w:leader="none"/>
        </w:tabs>
      </w:pPr>
      <w:rPr>
        <w:rFonts w:hint="default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4"/>
        <w:tabs>
          <w:tab w:val="num" w:pos="454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</w:pPr>
      <w:rPr>
        <w:rFonts w:hint="default" w:ascii="Symbol" w:hAnsi="Symbol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 w:ascii="Times New Roman" w:hAnsi="Times New Roman" w:cs="Times New Roman"/>
        <w:b w:val="0"/>
        <w:i w:val="0"/>
        <w:color w:val="auto"/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7">
    <w:multiLevelType w:val="hybridMultilevel"/>
    <w:lvl w:ilvl="0">
      <w:start w:val="1"/>
      <w:numFmt w:val="upperRoman"/>
      <w:isLgl w:val="false"/>
      <w:suff w:val="tab"/>
      <w:lvlText w:val="%1."/>
      <w:lvlJc w:val="right"/>
      <w:pPr>
        <w:ind w:left="720" w:hanging="180"/>
        <w:tabs>
          <w:tab w:val="num" w:pos="720" w:leader="none"/>
        </w:tabs>
      </w:pPr>
      <w:rPr>
        <w:rFonts w:hint="default"/>
        <w:sz w:val="24"/>
        <w:szCs w:val="24"/>
      </w:rPr>
    </w:lvl>
    <w:lvl w:ilvl="1">
      <w:start w:val="1"/>
      <w:numFmt w:val="decimal"/>
      <w:isLgl w:val="false"/>
      <w:suff w:val="tab"/>
      <w:lvlText w:val="Форма %2."/>
      <w:lvlJc w:val="left"/>
      <w:pPr>
        <w:ind w:left="1440" w:hanging="360"/>
        <w:tabs>
          <w:tab w:val="num" w:pos="2160" w:leader="none"/>
        </w:tabs>
      </w:pPr>
      <w:rPr>
        <w:rFonts w:hint="default" w:ascii="Times New Roman" w:hAnsi="Times New Roman" w:cs="Times New Roman"/>
        <w:b/>
        <w:bCs/>
        <w:i w:val="0"/>
        <w:iCs w:val="0"/>
        <w:sz w:val="26"/>
        <w:szCs w:val="26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67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11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3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5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7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9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1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3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54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2"/>
        <w:tabs>
          <w:tab w:val="num" w:pos="312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1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4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11">
    <w:multiLevelType w:val="hybridMultilevel"/>
    <w:lvl w:ilvl="0">
      <w:start w:val="1"/>
      <w:numFmt w:val="decimal"/>
      <w:pStyle w:val="1080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/>
      </w:rPr>
    </w:lvl>
    <w:lvl w:ilvl="1">
      <w:start w:val="1"/>
      <w:numFmt w:val="decimal"/>
      <w:pStyle w:val="1083"/>
      <w:isLgl w:val="false"/>
      <w:suff w:val="tab"/>
      <w:lvlText w:val="%1.%2"/>
      <w:lvlJc w:val="left"/>
      <w:pPr>
        <w:ind w:left="1836" w:hanging="576"/>
        <w:tabs>
          <w:tab w:val="num" w:pos="1836" w:leader="none"/>
        </w:tabs>
      </w:pPr>
      <w:rPr>
        <w:rFonts w:hint="default"/>
      </w:rPr>
    </w:lvl>
    <w:lvl w:ilvl="2">
      <w:start w:val="1"/>
      <w:numFmt w:val="decimal"/>
      <w:pStyle w:val="1084"/>
      <w:isLgl w:val="false"/>
      <w:suff w:val="tab"/>
      <w:lvlText w:val="%1.%2.%3"/>
      <w:lvlJc w:val="left"/>
      <w:pPr>
        <w:ind w:left="1080"/>
        <w:tabs>
          <w:tab w:val="num" w:pos="130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720" w:hanging="360"/>
      </w:pPr>
      <w:rPr>
        <w:rFonts w:hint="default" w:ascii="Courier New" w:hAnsi="Courier New" w:cs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rFonts w:hint="default"/>
        <w:b/>
        <w:bCs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1277" w:hanging="851"/>
        <w:tabs>
          <w:tab w:val="num" w:pos="1277" w:leader="none"/>
        </w:tabs>
      </w:pPr>
      <w:rPr>
        <w:rFonts w:hint="default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2">
      <w:start w:val="1"/>
      <w:numFmt w:val="decimal"/>
      <w:pStyle w:val="1115"/>
      <w:isLgl w:val="false"/>
      <w:suff w:val="tab"/>
      <w:lvlText w:val="%1.%2.%3"/>
      <w:lvlJc w:val="left"/>
      <w:pPr>
        <w:ind w:left="-283" w:firstLine="567"/>
        <w:tabs>
          <w:tab w:val="num" w:pos="1135" w:leader="none"/>
        </w:tabs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firstLine="567"/>
        <w:tabs>
          <w:tab w:val="num" w:pos="1418" w:leader="none"/>
        </w:tabs>
      </w:pPr>
      <w:rPr>
        <w:rFonts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lowerLetter"/>
      <w:isLgl w:val="false"/>
      <w:suff w:val="tab"/>
      <w:lvlText w:val="%5)"/>
      <w:lvlJc w:val="left"/>
      <w:pPr>
        <w:ind w:firstLine="567"/>
        <w:tabs>
          <w:tab w:val="num" w:pos="1418" w:leader="none"/>
        </w:tabs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isLgl w:val="false"/>
      <w:suff w:val="tab"/>
      <w:lvlText w:val="%6)"/>
      <w:lvlJc w:val="left"/>
      <w:pPr>
        <w:ind w:left="1985" w:hanging="567"/>
        <w:tabs>
          <w:tab w:val="num" w:pos="198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5.%6.%7)"/>
      <w:lvlJc w:val="left"/>
      <w:pPr>
        <w:ind w:left="3119" w:hanging="851"/>
        <w:tabs>
          <w:tab w:val="num" w:pos="3119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3402" w:hanging="567"/>
        <w:tabs>
          <w:tab w:val="num" w:pos="3402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1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0" w:hanging="360"/>
      </w:pPr>
    </w:lvl>
    <w:lvl w:ilvl="1">
      <w:start w:val="1"/>
      <w:numFmt w:val="decimal"/>
      <w:isLgl/>
      <w:suff w:val="tab"/>
      <w:lvlText w:val="%1.%2."/>
      <w:lvlJc w:val="left"/>
      <w:pPr>
        <w:ind w:left="1211" w:hanging="360"/>
      </w:pPr>
    </w:lvl>
    <w:lvl w:ilvl="2">
      <w:start w:val="1"/>
      <w:numFmt w:val="decimal"/>
      <w:isLgl/>
      <w:suff w:val="tab"/>
      <w:lvlText w:val="%1.%2.%3."/>
      <w:lvlJc w:val="left"/>
      <w:pPr>
        <w:ind w:left="2222" w:hanging="720"/>
      </w:pPr>
    </w:lvl>
    <w:lvl w:ilvl="3">
      <w:start w:val="1"/>
      <w:numFmt w:val="decimal"/>
      <w:isLgl/>
      <w:suff w:val="tab"/>
      <w:lvlText w:val="%1.%2.%3.%4."/>
      <w:lvlJc w:val="left"/>
      <w:pPr>
        <w:ind w:left="2873" w:hanging="720"/>
      </w:pPr>
    </w:lvl>
    <w:lvl w:ilvl="4">
      <w:start w:val="1"/>
      <w:numFmt w:val="decimal"/>
      <w:isLgl/>
      <w:suff w:val="tab"/>
      <w:lvlText w:val="%1.%2.%3.%4.%5."/>
      <w:lvlJc w:val="left"/>
      <w:pPr>
        <w:ind w:left="3884" w:hanging="1080"/>
      </w:pPr>
    </w:lvl>
    <w:lvl w:ilvl="5">
      <w:start w:val="1"/>
      <w:numFmt w:val="decimal"/>
      <w:isLgl/>
      <w:suff w:val="tab"/>
      <w:lvlText w:val="%1.%2.%3.%4.%5.%6."/>
      <w:lvlJc w:val="left"/>
      <w:pPr>
        <w:ind w:left="4535" w:hanging="1080"/>
      </w:pPr>
    </w:lvl>
    <w:lvl w:ilvl="6">
      <w:start w:val="1"/>
      <w:numFmt w:val="decimal"/>
      <w:isLgl/>
      <w:suff w:val="tab"/>
      <w:lvlText w:val="%1.%2.%3.%4.%5.%6.%7."/>
      <w:lvlJc w:val="left"/>
      <w:pPr>
        <w:ind w:left="5546" w:hanging="1440"/>
      </w:pPr>
    </w:lvl>
    <w:lvl w:ilvl="7">
      <w:start w:val="1"/>
      <w:numFmt w:val="decimal"/>
      <w:isLgl/>
      <w:suff w:val="tab"/>
      <w:lvlText w:val="%1.%2.%3.%4.%5.%6.%7.%8."/>
      <w:lvlJc w:val="left"/>
      <w:pPr>
        <w:ind w:left="6197" w:hanging="1440"/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7208" w:hanging="180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78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3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5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7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9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1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3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5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79" w:hanging="180"/>
      </w:pPr>
    </w:lvl>
  </w:abstractNum>
  <w:abstractNum w:abstractNumId="17">
    <w:multiLevelType w:val="hybridMultilevel"/>
    <w:lvl w:ilvl="0">
      <w:start w:val="1"/>
      <w:numFmt w:val="decimal"/>
      <w:pStyle w:val="989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decimal"/>
      <w:pStyle w:val="974"/>
      <w:isLgl w:val="false"/>
      <w:suff w:val="tab"/>
      <w:lvlText w:val="%1.%2"/>
      <w:lvlJc w:val="left"/>
      <w:pPr>
        <w:ind w:left="567" w:hanging="567"/>
        <w:tabs>
          <w:tab w:val="num" w:pos="567" w:leader="none"/>
        </w:tabs>
      </w:pPr>
    </w:lvl>
    <w:lvl w:ilvl="2">
      <w:start w:val="1"/>
      <w:numFmt w:val="none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18">
    <w:multiLevelType w:val="hybridMultilevel"/>
    <w:lvl w:ilvl="0">
      <w:start w:val="1"/>
      <w:numFmt w:val="decimal"/>
      <w:pStyle w:val="988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432" w:hanging="432"/>
        <w:tabs>
          <w:tab w:val="num" w:pos="432" w:leader="none"/>
        </w:tabs>
      </w:pPr>
      <w:rPr>
        <w:rFonts w:hint="default" w:ascii="Arial (WT)" w:hAnsi="Arial (WT)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4"/>
        <w:tabs>
          <w:tab w:val="num" w:pos="454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  <w:color w:val="auto"/>
        <w:sz w:val="20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2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152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87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9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1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3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5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7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9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12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7">
    <w:multiLevelType w:val="hybridMultilevel"/>
    <w:lvl w:ilvl="0">
      <w:start w:val="1"/>
      <w:numFmt w:val="decimal"/>
      <w:pStyle w:val="1150"/>
      <w:isLgl w:val="false"/>
      <w:suff w:val="tab"/>
      <w:lvlText w:val="%1."/>
      <w:lvlJc w:val="center"/>
      <w:pPr>
        <w:ind w:left="0" w:firstLine="0"/>
        <w:tabs>
          <w:tab w:val="num" w:pos="2977" w:leader="none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1152"/>
      <w:isLgl w:val="false"/>
      <w:suff w:val="tab"/>
      <w:lvlText w:val="%1.%2"/>
      <w:lvlJc w:val="left"/>
      <w:pPr>
        <w:ind w:left="0" w:firstLine="567"/>
        <w:tabs>
          <w:tab w:val="num" w:pos="4680" w:leader="none"/>
        </w:tabs>
      </w:pPr>
      <w:rPr>
        <w:rFonts w:cs="Times New Roman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1151"/>
      <w:isLgl w:val="false"/>
      <w:suff w:val="tab"/>
      <w:lvlText w:val="%1.%2.%3"/>
      <w:lvlJc w:val="left"/>
      <w:pPr>
        <w:ind w:left="0" w:firstLine="567"/>
        <w:tabs>
          <w:tab w:val="num" w:pos="4399" w:leader="none"/>
        </w:tabs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0" w:firstLine="567"/>
        <w:tabs>
          <w:tab w:val="num" w:pos="1985" w:leader="none"/>
        </w:tabs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1153"/>
      <w:isLgl w:val="false"/>
      <w:suff w:val="tab"/>
      <w:lvlText w:val="%5)"/>
      <w:lvlJc w:val="left"/>
      <w:pPr>
        <w:ind w:left="0" w:firstLine="567"/>
        <w:tabs>
          <w:tab w:val="num" w:pos="1703" w:leader="none"/>
        </w:tabs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isLgl w:val="false"/>
      <w:suff w:val="tab"/>
      <w:lvlText w:val="%6)"/>
      <w:lvlJc w:val="left"/>
      <w:pPr>
        <w:ind w:left="2551" w:hanging="567"/>
        <w:tabs>
          <w:tab w:val="num" w:pos="2551" w:leader="none"/>
        </w:tabs>
      </w:pPr>
      <w:rPr>
        <w:rFonts w:cs="Times New Roman"/>
      </w:rPr>
    </w:lvl>
    <w:lvl w:ilvl="6">
      <w:start w:val="1"/>
      <w:numFmt w:val="lowerRoman"/>
      <w:isLgl w:val="false"/>
      <w:suff w:val="tab"/>
      <w:lvlText w:val="%7)"/>
      <w:lvlJc w:val="left"/>
      <w:pPr>
        <w:ind w:left="2268" w:hanging="567"/>
        <w:tabs>
          <w:tab w:val="num" w:pos="226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1448" w:hanging="567"/>
        <w:tabs>
          <w:tab w:val="num" w:pos="144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366" w:hanging="1440"/>
        <w:tabs>
          <w:tab w:val="num" w:pos="4166" w:leader="none"/>
        </w:tabs>
      </w:pPr>
      <w:rPr>
        <w:rFonts w:cs="Times New Roman"/>
      </w:rPr>
    </w:lvl>
  </w:abstractNum>
  <w:abstractNum w:abstractNumId="28">
    <w:multiLevelType w:val="hybridMultilevel"/>
    <w:lvl w:ilvl="0">
      <w:start w:val="1"/>
      <w:numFmt w:val="decimal"/>
      <w:pStyle w:val="1157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576" w:hanging="576"/>
        <w:tabs>
          <w:tab w:val="num" w:pos="576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2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287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31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isLgl w:val="false"/>
      <w:suff w:val="tab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  <w:b w:val="0"/>
        <w:sz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32">
    <w:multiLevelType w:val="hybridMultilevel"/>
    <w:lvl w:ilvl="0">
      <w:start w:val="1"/>
      <w:numFmt w:val="russianLower"/>
      <w:pStyle w:val="1156"/>
      <w:isLgl w:val="false"/>
      <w:suff w:val="space"/>
      <w:lvlText w:val="%1)"/>
      <w:lvlJc w:val="left"/>
      <w:pPr>
        <w:ind w:left="0" w:firstLine="0"/>
      </w:pPr>
      <w:rPr>
        <w:rFonts w:hint="default" w:ascii="Times New Roman" w:hAnsi="Times New Roman"/>
        <w:b w:val="0"/>
        <w:i w:val="0"/>
        <w:caps w:val="0"/>
        <w:strike w:val="0"/>
        <w:vanish w:val="0"/>
        <w:sz w:val="24"/>
        <w:szCs w:val="24"/>
        <w:vertAlign w:val="baseline"/>
      </w:rPr>
    </w:lvl>
    <w:lvl w:ilvl="1">
      <w:start w:val="1"/>
      <w:numFmt w:val="lowerLetter"/>
      <w:isLgl w:val="false"/>
      <w:suff w:val="tab"/>
      <w:lvlText w:val="%2)"/>
      <w:lvlJc w:val="left"/>
      <w:pPr>
        <w:ind w:left="1429" w:hanging="360"/>
        <w:tabs>
          <w:tab w:val="num" w:pos="1429" w:leader="none"/>
        </w:tabs>
      </w:pPr>
      <w:rPr>
        <w:rFonts w:hint="default"/>
      </w:rPr>
    </w:lvl>
    <w:lvl w:ilvl="2">
      <w:start w:val="1"/>
      <w:numFmt w:val="lowerRoman"/>
      <w:isLgl w:val="false"/>
      <w:suff w:val="tab"/>
      <w:lvlText w:val="%3)"/>
      <w:lvlJc w:val="left"/>
      <w:pPr>
        <w:ind w:left="1789" w:hanging="360"/>
        <w:tabs>
          <w:tab w:val="num" w:pos="1789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2149" w:hanging="360"/>
        <w:tabs>
          <w:tab w:val="num" w:pos="2149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2509" w:hanging="360"/>
        <w:tabs>
          <w:tab w:val="num" w:pos="2509" w:leader="none"/>
        </w:tabs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869" w:hanging="360"/>
        <w:tabs>
          <w:tab w:val="num" w:pos="2869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3229" w:hanging="360"/>
        <w:tabs>
          <w:tab w:val="num" w:pos="3229" w:leader="none"/>
        </w:tabs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3589" w:hanging="360"/>
        <w:tabs>
          <w:tab w:val="num" w:pos="3589" w:leader="none"/>
        </w:tabs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949" w:hanging="360"/>
        <w:tabs>
          <w:tab w:val="num" w:pos="3949" w:leader="none"/>
        </w:tabs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3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8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50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22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94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66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38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10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82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545" w:hanging="18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7">
    <w:multiLevelType w:val="hybridMultilevel"/>
    <w:lvl w:ilvl="0">
      <w:start w:val="1"/>
      <w:numFmt w:val="upperRoman"/>
      <w:isLgl w:val="false"/>
      <w:suff w:val="tab"/>
      <w:lvlText w:val="ЧАСТЬ %1."/>
      <w:lvlJc w:val="left"/>
      <w:pPr>
        <w:ind w:left="720" w:hanging="720"/>
        <w:tabs>
          <w:tab w:val="num" w:pos="2160" w:leader="none"/>
        </w:tabs>
      </w:pPr>
      <w:rPr>
        <w:rFonts w:hint="default"/>
        <w:sz w:val="40"/>
        <w:szCs w:val="40"/>
      </w:rPr>
    </w:lvl>
    <w:lvl w:ilvl="1">
      <w:start w:val="1"/>
      <w:numFmt w:val="decimal"/>
      <w:pStyle w:val="986"/>
      <w:isLgl w:val="false"/>
      <w:suff w:val="tab"/>
      <w:lvlText w:val="РАЗДЕЛ %1.%2"/>
      <w:lvlJc w:val="left"/>
      <w:pPr>
        <w:ind w:left="720" w:hanging="720"/>
        <w:tabs>
          <w:tab w:val="num" w:pos="144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9">
    <w:multiLevelType w:val="hybridMultilevel"/>
    <w:lvl w:ilvl="0">
      <w:start w:val="12"/>
      <w:numFmt w:val="decimal"/>
      <w:isLgl w:val="false"/>
      <w:suff w:val="tab"/>
      <w:lvlText w:val="%1"/>
      <w:lvlJc w:val="left"/>
      <w:pPr>
        <w:ind w:left="78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3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5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7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9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1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3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5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79" w:hanging="180"/>
      </w:pPr>
    </w:lvl>
  </w:abstractNum>
  <w:num w:numId="1">
    <w:abstractNumId w:val="9"/>
  </w:num>
  <w:num w:numId="2">
    <w:abstractNumId w:val="37"/>
  </w:num>
  <w:num w:numId="3">
    <w:abstractNumId w:val="18"/>
  </w:num>
  <w:num w:numId="4">
    <w:abstractNumId w:val="17"/>
  </w:num>
  <w:num w:numId="5">
    <w:abstractNumId w:val="11"/>
  </w:num>
  <w:num w:numId="6">
    <w:abstractNumId w:val="7"/>
  </w:num>
  <w:num w:numId="7">
    <w:abstractNumId w:val="13"/>
  </w:num>
  <w:num w:numId="8">
    <w:abstractNumId w:val="6"/>
  </w:num>
  <w:num w:numId="9">
    <w:abstractNumId w:val="31"/>
  </w:num>
  <w:num w:numId="1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3"/>
  </w:num>
  <w:num w:numId="12">
    <w:abstractNumId w:val="10"/>
  </w:num>
  <w:num w:numId="13">
    <w:abstractNumId w:val="21"/>
  </w:num>
  <w:num w:numId="14">
    <w:abstractNumId w:val="23"/>
  </w:num>
  <w:num w:numId="15">
    <w:abstractNumId w:val="4"/>
  </w:num>
  <w:num w:numId="16">
    <w:abstractNumId w:val="30"/>
  </w:num>
  <w:num w:numId="17">
    <w:abstractNumId w:val="16"/>
  </w:num>
  <w:num w:numId="18">
    <w:abstractNumId w:val="32"/>
  </w:num>
  <w:num w:numId="19">
    <w:abstractNumId w:val="28"/>
  </w:num>
  <w:num w:numId="20">
    <w:abstractNumId w:val="38"/>
  </w:num>
  <w:num w:numId="21">
    <w:abstractNumId w:val="20"/>
  </w:num>
  <w:num w:numId="22">
    <w:abstractNumId w:val="24"/>
  </w:num>
  <w:num w:numId="23">
    <w:abstractNumId w:val="22"/>
  </w:num>
  <w:num w:numId="24">
    <w:abstractNumId w:val="25"/>
  </w:num>
  <w:num w:numId="2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</w:num>
  <w:num w:numId="28">
    <w:abstractNumId w:val="12"/>
  </w:num>
  <w:num w:numId="29">
    <w:abstractNumId w:val="0"/>
  </w:num>
  <w:num w:numId="30">
    <w:abstractNumId w:val="2"/>
  </w:num>
  <w:num w:numId="31">
    <w:abstractNumId w:val="36"/>
  </w:num>
  <w:num w:numId="32">
    <w:abstractNumId w:val="35"/>
  </w:num>
  <w:num w:numId="33">
    <w:abstractNumId w:val="5"/>
  </w:num>
  <w:num w:numId="34">
    <w:abstractNumId w:val="19"/>
  </w:num>
  <w:num w:numId="35">
    <w:abstractNumId w:val="26"/>
  </w:num>
  <w:num w:numId="36">
    <w:abstractNumId w:val="1"/>
  </w:num>
  <w:num w:numId="37">
    <w:abstractNumId w:val="14"/>
  </w:num>
  <w:num w:numId="38">
    <w:abstractNumId w:val="29"/>
  </w:num>
  <w:num w:numId="39">
    <w:abstractNumId w:val="34"/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02">
    <w:name w:val="Quote Char"/>
    <w:link w:val="828"/>
    <w:uiPriority w:val="29"/>
    <w:rPr>
      <w:i/>
    </w:rPr>
  </w:style>
  <w:style w:type="character" w:styleId="803">
    <w:name w:val="Intense Quote Char"/>
    <w:link w:val="830"/>
    <w:uiPriority w:val="30"/>
    <w:rPr>
      <w:i/>
    </w:rPr>
  </w:style>
  <w:style w:type="paragraph" w:styleId="804" w:default="1">
    <w:name w:val="Normal"/>
    <w:qFormat/>
    <w:pPr>
      <w:jc w:val="both"/>
      <w:spacing w:after="60"/>
    </w:pPr>
    <w:rPr>
      <w:sz w:val="24"/>
      <w:szCs w:val="24"/>
    </w:rPr>
  </w:style>
  <w:style w:type="paragraph" w:styleId="805">
    <w:name w:val="Heading 1"/>
    <w:basedOn w:val="804"/>
    <w:next w:val="804"/>
    <w:link w:val="964"/>
    <w:qFormat/>
    <w:pPr>
      <w:ind w:left="432" w:hanging="432"/>
      <w:jc w:val="center"/>
      <w:keepNext/>
      <w:spacing w:before="240"/>
      <w:tabs>
        <w:tab w:val="num" w:pos="432" w:leader="none"/>
      </w:tabs>
      <w:outlineLvl w:val="0"/>
    </w:pPr>
    <w:rPr>
      <w:b/>
      <w:bCs/>
      <w:sz w:val="36"/>
      <w:szCs w:val="36"/>
    </w:rPr>
  </w:style>
  <w:style w:type="paragraph" w:styleId="806">
    <w:name w:val="Heading 2"/>
    <w:basedOn w:val="804"/>
    <w:next w:val="804"/>
    <w:link w:val="965"/>
    <w:qFormat/>
    <w:pPr>
      <w:ind w:left="576" w:hanging="576"/>
      <w:jc w:val="center"/>
      <w:keepNext/>
      <w:tabs>
        <w:tab w:val="num" w:pos="576" w:leader="none"/>
      </w:tabs>
      <w:outlineLvl w:val="1"/>
    </w:pPr>
    <w:rPr>
      <w:b/>
      <w:bCs/>
      <w:sz w:val="30"/>
      <w:szCs w:val="30"/>
    </w:rPr>
  </w:style>
  <w:style w:type="paragraph" w:styleId="807">
    <w:name w:val="Heading 3"/>
    <w:basedOn w:val="804"/>
    <w:next w:val="804"/>
    <w:link w:val="966"/>
    <w:uiPriority w:val="99"/>
    <w:qFormat/>
    <w:pPr>
      <w:ind w:left="142"/>
      <w:keepNext/>
      <w:spacing w:before="240"/>
      <w:tabs>
        <w:tab w:val="num" w:pos="312" w:leader="none"/>
      </w:tabs>
      <w:outlineLvl w:val="2"/>
    </w:pPr>
    <w:rPr>
      <w:rFonts w:ascii="Arial" w:hAnsi="Arial" w:cs="Arial"/>
      <w:b/>
      <w:bCs/>
    </w:rPr>
  </w:style>
  <w:style w:type="paragraph" w:styleId="808">
    <w:name w:val="Heading 4"/>
    <w:basedOn w:val="804"/>
    <w:next w:val="804"/>
    <w:link w:val="967"/>
    <w:uiPriority w:val="99"/>
    <w:qFormat/>
    <w:pPr>
      <w:ind w:left="1148" w:hanging="864"/>
      <w:keepNext/>
      <w:spacing w:before="240"/>
      <w:tabs>
        <w:tab w:val="num" w:pos="1148" w:leader="none"/>
      </w:tabs>
      <w:outlineLvl w:val="3"/>
    </w:pPr>
    <w:rPr>
      <w:rFonts w:ascii="Arial" w:hAnsi="Arial" w:cs="Arial"/>
    </w:rPr>
  </w:style>
  <w:style w:type="paragraph" w:styleId="809">
    <w:name w:val="Heading 5"/>
    <w:basedOn w:val="804"/>
    <w:next w:val="804"/>
    <w:link w:val="968"/>
    <w:uiPriority w:val="99"/>
    <w:qFormat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810">
    <w:name w:val="Heading 6"/>
    <w:basedOn w:val="804"/>
    <w:next w:val="804"/>
    <w:link w:val="969"/>
    <w:uiPriority w:val="99"/>
    <w:qFormat/>
    <w:pPr>
      <w:ind w:left="1152" w:hanging="1152"/>
      <w:spacing w:before="240"/>
      <w:tabs>
        <w:tab w:val="num" w:pos="1152" w:leader="none"/>
      </w:tabs>
      <w:outlineLvl w:val="5"/>
    </w:pPr>
    <w:rPr>
      <w:i/>
      <w:iCs/>
      <w:sz w:val="20"/>
      <w:szCs w:val="20"/>
    </w:rPr>
  </w:style>
  <w:style w:type="paragraph" w:styleId="811">
    <w:name w:val="Heading 7"/>
    <w:basedOn w:val="804"/>
    <w:next w:val="804"/>
    <w:link w:val="970"/>
    <w:uiPriority w:val="99"/>
    <w:qFormat/>
    <w:pPr>
      <w:ind w:left="1296" w:hanging="1296"/>
      <w:spacing w:before="240"/>
      <w:tabs>
        <w:tab w:val="num" w:pos="1296" w:leader="none"/>
      </w:tabs>
      <w:outlineLvl w:val="6"/>
    </w:pPr>
    <w:rPr>
      <w:rFonts w:ascii="Arial" w:hAnsi="Arial" w:cs="Arial"/>
      <w:sz w:val="20"/>
      <w:szCs w:val="20"/>
    </w:rPr>
  </w:style>
  <w:style w:type="paragraph" w:styleId="812">
    <w:name w:val="Heading 8"/>
    <w:basedOn w:val="804"/>
    <w:next w:val="804"/>
    <w:link w:val="971"/>
    <w:uiPriority w:val="99"/>
    <w:qFormat/>
    <w:pPr>
      <w:ind w:left="1440" w:hanging="1440"/>
      <w:spacing w:before="240"/>
      <w:tabs>
        <w:tab w:val="num" w:pos="1440" w:leader="none"/>
      </w:tabs>
      <w:outlineLvl w:val="7"/>
    </w:pPr>
    <w:rPr>
      <w:rFonts w:ascii="Arial" w:hAnsi="Arial" w:cs="Arial"/>
      <w:i/>
      <w:iCs/>
      <w:sz w:val="20"/>
      <w:szCs w:val="20"/>
    </w:rPr>
  </w:style>
  <w:style w:type="paragraph" w:styleId="813">
    <w:name w:val="Heading 9"/>
    <w:basedOn w:val="804"/>
    <w:next w:val="804"/>
    <w:link w:val="972"/>
    <w:uiPriority w:val="99"/>
    <w:qFormat/>
    <w:pPr>
      <w:ind w:left="1584" w:hanging="1584"/>
      <w:spacing w:before="240"/>
      <w:tabs>
        <w:tab w:val="num" w:pos="1584" w:leader="none"/>
      </w:tabs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styleId="814" w:default="1">
    <w:name w:val="Default Paragraph Font"/>
    <w:uiPriority w:val="1"/>
    <w:unhideWhenUsed/>
  </w:style>
  <w:style w:type="table" w:styleId="81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6" w:default="1">
    <w:name w:val="No List"/>
    <w:uiPriority w:val="99"/>
    <w:semiHidden/>
    <w:unhideWhenUsed/>
  </w:style>
  <w:style w:type="character" w:styleId="817" w:customStyle="1">
    <w:name w:val="Heading 1 Char"/>
    <w:basedOn w:val="814"/>
    <w:uiPriority w:val="9"/>
    <w:rPr>
      <w:rFonts w:ascii="Arial" w:hAnsi="Arial" w:eastAsia="Arial" w:cs="Arial"/>
      <w:sz w:val="40"/>
      <w:szCs w:val="40"/>
    </w:rPr>
  </w:style>
  <w:style w:type="character" w:styleId="818" w:customStyle="1">
    <w:name w:val="Heading 2 Char"/>
    <w:basedOn w:val="814"/>
    <w:uiPriority w:val="9"/>
    <w:rPr>
      <w:rFonts w:ascii="Arial" w:hAnsi="Arial" w:eastAsia="Arial" w:cs="Arial"/>
      <w:sz w:val="34"/>
    </w:rPr>
  </w:style>
  <w:style w:type="character" w:styleId="819" w:customStyle="1">
    <w:name w:val="Heading 3 Char"/>
    <w:basedOn w:val="814"/>
    <w:uiPriority w:val="9"/>
    <w:rPr>
      <w:rFonts w:ascii="Arial" w:hAnsi="Arial" w:eastAsia="Arial" w:cs="Arial"/>
      <w:sz w:val="30"/>
      <w:szCs w:val="30"/>
    </w:rPr>
  </w:style>
  <w:style w:type="character" w:styleId="820" w:customStyle="1">
    <w:name w:val="Heading 4 Char"/>
    <w:basedOn w:val="814"/>
    <w:uiPriority w:val="9"/>
    <w:rPr>
      <w:rFonts w:ascii="Arial" w:hAnsi="Arial" w:eastAsia="Arial" w:cs="Arial"/>
      <w:b/>
      <w:bCs/>
      <w:sz w:val="26"/>
      <w:szCs w:val="26"/>
    </w:rPr>
  </w:style>
  <w:style w:type="character" w:styleId="821" w:customStyle="1">
    <w:name w:val="Heading 5 Char"/>
    <w:basedOn w:val="814"/>
    <w:uiPriority w:val="9"/>
    <w:rPr>
      <w:rFonts w:ascii="Arial" w:hAnsi="Arial" w:eastAsia="Arial" w:cs="Arial"/>
      <w:b/>
      <w:bCs/>
      <w:sz w:val="24"/>
      <w:szCs w:val="24"/>
    </w:rPr>
  </w:style>
  <w:style w:type="character" w:styleId="822" w:customStyle="1">
    <w:name w:val="Heading 6 Char"/>
    <w:basedOn w:val="814"/>
    <w:uiPriority w:val="9"/>
    <w:rPr>
      <w:rFonts w:ascii="Arial" w:hAnsi="Arial" w:eastAsia="Arial" w:cs="Arial"/>
      <w:b/>
      <w:bCs/>
      <w:sz w:val="22"/>
      <w:szCs w:val="22"/>
    </w:rPr>
  </w:style>
  <w:style w:type="character" w:styleId="823" w:customStyle="1">
    <w:name w:val="Heading 7 Char"/>
    <w:basedOn w:val="81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24" w:customStyle="1">
    <w:name w:val="Heading 8 Char"/>
    <w:basedOn w:val="814"/>
    <w:uiPriority w:val="9"/>
    <w:rPr>
      <w:rFonts w:ascii="Arial" w:hAnsi="Arial" w:eastAsia="Arial" w:cs="Arial"/>
      <w:i/>
      <w:iCs/>
      <w:sz w:val="22"/>
      <w:szCs w:val="22"/>
    </w:rPr>
  </w:style>
  <w:style w:type="character" w:styleId="825" w:customStyle="1">
    <w:name w:val="Heading 9 Char"/>
    <w:basedOn w:val="814"/>
    <w:uiPriority w:val="9"/>
    <w:rPr>
      <w:rFonts w:ascii="Arial" w:hAnsi="Arial" w:eastAsia="Arial" w:cs="Arial"/>
      <w:i/>
      <w:iCs/>
      <w:sz w:val="21"/>
      <w:szCs w:val="21"/>
    </w:rPr>
  </w:style>
  <w:style w:type="character" w:styleId="826" w:customStyle="1">
    <w:name w:val="Title Char"/>
    <w:basedOn w:val="814"/>
    <w:uiPriority w:val="10"/>
    <w:rPr>
      <w:sz w:val="48"/>
      <w:szCs w:val="48"/>
    </w:rPr>
  </w:style>
  <w:style w:type="character" w:styleId="827" w:customStyle="1">
    <w:name w:val="Subtitle Char"/>
    <w:basedOn w:val="814"/>
    <w:uiPriority w:val="11"/>
    <w:rPr>
      <w:sz w:val="24"/>
      <w:szCs w:val="24"/>
    </w:rPr>
  </w:style>
  <w:style w:type="paragraph" w:styleId="828">
    <w:name w:val="Quote"/>
    <w:basedOn w:val="804"/>
    <w:next w:val="804"/>
    <w:link w:val="829"/>
    <w:uiPriority w:val="29"/>
    <w:qFormat/>
    <w:pPr>
      <w:ind w:left="720" w:right="720"/>
    </w:pPr>
    <w:rPr>
      <w:i/>
    </w:rPr>
  </w:style>
  <w:style w:type="character" w:styleId="829" w:customStyle="1">
    <w:name w:val="Цитата 2 Знак"/>
    <w:link w:val="828"/>
    <w:uiPriority w:val="29"/>
    <w:rPr>
      <w:i/>
    </w:rPr>
  </w:style>
  <w:style w:type="paragraph" w:styleId="830">
    <w:name w:val="Intense Quote"/>
    <w:basedOn w:val="804"/>
    <w:next w:val="804"/>
    <w:link w:val="831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31" w:customStyle="1">
    <w:name w:val="Выделенная цитата Знак"/>
    <w:link w:val="830"/>
    <w:uiPriority w:val="30"/>
    <w:rPr>
      <w:i/>
    </w:rPr>
  </w:style>
  <w:style w:type="character" w:styleId="832" w:customStyle="1">
    <w:name w:val="Header Char"/>
    <w:basedOn w:val="814"/>
    <w:uiPriority w:val="99"/>
  </w:style>
  <w:style w:type="character" w:styleId="833" w:customStyle="1">
    <w:name w:val="Footer Char"/>
    <w:basedOn w:val="814"/>
    <w:uiPriority w:val="99"/>
  </w:style>
  <w:style w:type="character" w:styleId="834" w:customStyle="1">
    <w:name w:val="Caption Char"/>
    <w:uiPriority w:val="99"/>
  </w:style>
  <w:style w:type="table" w:styleId="835" w:customStyle="1">
    <w:name w:val="Table Grid Light"/>
    <w:basedOn w:val="815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36">
    <w:name w:val="Plain Table 1"/>
    <w:basedOn w:val="815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7">
    <w:name w:val="Plain Table 2"/>
    <w:basedOn w:val="815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8">
    <w:name w:val="Plain Table 3"/>
    <w:basedOn w:val="815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39">
    <w:name w:val="Plain Table 4"/>
    <w:basedOn w:val="815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Plain Table 5"/>
    <w:basedOn w:val="815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41">
    <w:name w:val="Grid Table 1 Light"/>
    <w:basedOn w:val="815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 w:customStyle="1">
    <w:name w:val="Grid Table 1 Light - Accent 1"/>
    <w:basedOn w:val="815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 w:customStyle="1">
    <w:name w:val="Grid Table 1 Light - Accent 2"/>
    <w:basedOn w:val="815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 w:customStyle="1">
    <w:name w:val="Grid Table 1 Light - Accent 3"/>
    <w:basedOn w:val="815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 w:customStyle="1">
    <w:name w:val="Grid Table 1 Light - Accent 4"/>
    <w:basedOn w:val="815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 w:customStyle="1">
    <w:name w:val="Grid Table 1 Light - Accent 5"/>
    <w:basedOn w:val="815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 w:customStyle="1">
    <w:name w:val="Grid Table 1 Light - Accent 6"/>
    <w:basedOn w:val="815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Grid Table 2"/>
    <w:basedOn w:val="815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Grid Table 2 - Accent 1"/>
    <w:basedOn w:val="815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Grid Table 2 - Accent 2"/>
    <w:basedOn w:val="815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Grid Table 2 - Accent 3"/>
    <w:basedOn w:val="815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 w:customStyle="1">
    <w:name w:val="Grid Table 2 - Accent 4"/>
    <w:basedOn w:val="815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 w:customStyle="1">
    <w:name w:val="Grid Table 2 - Accent 5"/>
    <w:basedOn w:val="815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 w:customStyle="1">
    <w:name w:val="Grid Table 2 - Accent 6"/>
    <w:basedOn w:val="815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Grid Table 3"/>
    <w:basedOn w:val="815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 w:customStyle="1">
    <w:name w:val="Grid Table 3 - Accent 1"/>
    <w:basedOn w:val="815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 w:customStyle="1">
    <w:name w:val="Grid Table 3 - Accent 2"/>
    <w:basedOn w:val="815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 w:customStyle="1">
    <w:name w:val="Grid Table 3 - Accent 3"/>
    <w:basedOn w:val="815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 w:customStyle="1">
    <w:name w:val="Grid Table 3 - Accent 4"/>
    <w:basedOn w:val="815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 w:customStyle="1">
    <w:name w:val="Grid Table 3 - Accent 5"/>
    <w:basedOn w:val="815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 w:customStyle="1">
    <w:name w:val="Grid Table 3 - Accent 6"/>
    <w:basedOn w:val="815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>
    <w:name w:val="Grid Table 4"/>
    <w:basedOn w:val="815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63" w:customStyle="1">
    <w:name w:val="Grid Table 4 - Accent 1"/>
    <w:basedOn w:val="815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64" w:customStyle="1">
    <w:name w:val="Grid Table 4 - Accent 2"/>
    <w:basedOn w:val="815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65" w:customStyle="1">
    <w:name w:val="Grid Table 4 - Accent 3"/>
    <w:basedOn w:val="815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66" w:customStyle="1">
    <w:name w:val="Grid Table 4 - Accent 4"/>
    <w:basedOn w:val="815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67" w:customStyle="1">
    <w:name w:val="Grid Table 4 - Accent 5"/>
    <w:basedOn w:val="815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68" w:customStyle="1">
    <w:name w:val="Grid Table 4 - Accent 6"/>
    <w:basedOn w:val="815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69">
    <w:name w:val="Grid Table 5 Dark"/>
    <w:basedOn w:val="81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70" w:customStyle="1">
    <w:name w:val="Grid Table 5 Dark- Accent 1"/>
    <w:basedOn w:val="81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71" w:customStyle="1">
    <w:name w:val="Grid Table 5 Dark - Accent 2"/>
    <w:basedOn w:val="81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72" w:customStyle="1">
    <w:name w:val="Grid Table 5 Dark - Accent 3"/>
    <w:basedOn w:val="81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73" w:customStyle="1">
    <w:name w:val="Grid Table 5 Dark- Accent 4"/>
    <w:basedOn w:val="81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74" w:customStyle="1">
    <w:name w:val="Grid Table 5 Dark - Accent 5"/>
    <w:basedOn w:val="81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75" w:customStyle="1">
    <w:name w:val="Grid Table 5 Dark - Accent 6"/>
    <w:basedOn w:val="81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76">
    <w:name w:val="Grid Table 6 Colorful"/>
    <w:basedOn w:val="815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77" w:customStyle="1">
    <w:name w:val="Grid Table 6 Colorful - Accent 1"/>
    <w:basedOn w:val="815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78" w:customStyle="1">
    <w:name w:val="Grid Table 6 Colorful - Accent 2"/>
    <w:basedOn w:val="815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79" w:customStyle="1">
    <w:name w:val="Grid Table 6 Colorful - Accent 3"/>
    <w:basedOn w:val="815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80" w:customStyle="1">
    <w:name w:val="Grid Table 6 Colorful - Accent 4"/>
    <w:basedOn w:val="815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81" w:customStyle="1">
    <w:name w:val="Grid Table 6 Colorful - Accent 5"/>
    <w:basedOn w:val="815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82" w:customStyle="1">
    <w:name w:val="Grid Table 6 Colorful - Accent 6"/>
    <w:basedOn w:val="815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83">
    <w:name w:val="Grid Table 7 Colorful"/>
    <w:basedOn w:val="815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 w:customStyle="1">
    <w:name w:val="Grid Table 7 Colorful - Accent 1"/>
    <w:basedOn w:val="815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 w:customStyle="1">
    <w:name w:val="Grid Table 7 Colorful - Accent 2"/>
    <w:basedOn w:val="815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 w:customStyle="1">
    <w:name w:val="Grid Table 7 Colorful - Accent 3"/>
    <w:basedOn w:val="815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 w:customStyle="1">
    <w:name w:val="Grid Table 7 Colorful - Accent 4"/>
    <w:basedOn w:val="815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 w:customStyle="1">
    <w:name w:val="Grid Table 7 Colorful - Accent 5"/>
    <w:basedOn w:val="815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 w:customStyle="1">
    <w:name w:val="Grid Table 7 Colorful - Accent 6"/>
    <w:basedOn w:val="815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>
    <w:name w:val="List Table 1 Light"/>
    <w:basedOn w:val="815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 w:customStyle="1">
    <w:name w:val="List Table 1 Light - Accent 1"/>
    <w:basedOn w:val="815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 w:customStyle="1">
    <w:name w:val="List Table 1 Light - Accent 2"/>
    <w:basedOn w:val="815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 w:customStyle="1">
    <w:name w:val="List Table 1 Light - Accent 3"/>
    <w:basedOn w:val="815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 w:customStyle="1">
    <w:name w:val="List Table 1 Light - Accent 4"/>
    <w:basedOn w:val="815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 w:customStyle="1">
    <w:name w:val="List Table 1 Light - Accent 5"/>
    <w:basedOn w:val="815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 w:customStyle="1">
    <w:name w:val="List Table 1 Light - Accent 6"/>
    <w:basedOn w:val="815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>
    <w:name w:val="List Table 2"/>
    <w:basedOn w:val="815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98" w:customStyle="1">
    <w:name w:val="List Table 2 - Accent 1"/>
    <w:basedOn w:val="815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99" w:customStyle="1">
    <w:name w:val="List Table 2 - Accent 2"/>
    <w:basedOn w:val="815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900" w:customStyle="1">
    <w:name w:val="List Table 2 - Accent 3"/>
    <w:basedOn w:val="815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901" w:customStyle="1">
    <w:name w:val="List Table 2 - Accent 4"/>
    <w:basedOn w:val="815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902" w:customStyle="1">
    <w:name w:val="List Table 2 - Accent 5"/>
    <w:basedOn w:val="815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903" w:customStyle="1">
    <w:name w:val="List Table 2 - Accent 6"/>
    <w:basedOn w:val="815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904">
    <w:name w:val="List Table 3"/>
    <w:basedOn w:val="815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5" w:customStyle="1">
    <w:name w:val="List Table 3 - Accent 1"/>
    <w:basedOn w:val="815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 w:customStyle="1">
    <w:name w:val="List Table 3 - Accent 2"/>
    <w:basedOn w:val="815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7" w:customStyle="1">
    <w:name w:val="List Table 3 - Accent 3"/>
    <w:basedOn w:val="815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8" w:customStyle="1">
    <w:name w:val="List Table 3 - Accent 4"/>
    <w:basedOn w:val="815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9" w:customStyle="1">
    <w:name w:val="List Table 3 - Accent 5"/>
    <w:basedOn w:val="815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 w:customStyle="1">
    <w:name w:val="List Table 3 - Accent 6"/>
    <w:basedOn w:val="815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>
    <w:name w:val="List Table 4"/>
    <w:basedOn w:val="815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 w:customStyle="1">
    <w:name w:val="List Table 4 - Accent 1"/>
    <w:basedOn w:val="815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3" w:customStyle="1">
    <w:name w:val="List Table 4 - Accent 2"/>
    <w:basedOn w:val="815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4" w:customStyle="1">
    <w:name w:val="List Table 4 - Accent 3"/>
    <w:basedOn w:val="815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5" w:customStyle="1">
    <w:name w:val="List Table 4 - Accent 4"/>
    <w:basedOn w:val="815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6" w:customStyle="1">
    <w:name w:val="List Table 4 - Accent 5"/>
    <w:basedOn w:val="815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7" w:customStyle="1">
    <w:name w:val="List Table 4 - Accent 6"/>
    <w:basedOn w:val="815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8">
    <w:name w:val="List Table 5 Dark"/>
    <w:basedOn w:val="815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9" w:customStyle="1">
    <w:name w:val="List Table 5 Dark - Accent 1"/>
    <w:basedOn w:val="815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0" w:customStyle="1">
    <w:name w:val="List Table 5 Dark - Accent 2"/>
    <w:basedOn w:val="815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1" w:customStyle="1">
    <w:name w:val="List Table 5 Dark - Accent 3"/>
    <w:basedOn w:val="815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2" w:customStyle="1">
    <w:name w:val="List Table 5 Dark - Accent 4"/>
    <w:basedOn w:val="815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3" w:customStyle="1">
    <w:name w:val="List Table 5 Dark - Accent 5"/>
    <w:basedOn w:val="815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4" w:customStyle="1">
    <w:name w:val="List Table 5 Dark - Accent 6"/>
    <w:basedOn w:val="815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5">
    <w:name w:val="List Table 6 Colorful"/>
    <w:basedOn w:val="815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26" w:customStyle="1">
    <w:name w:val="List Table 6 Colorful - Accent 1"/>
    <w:basedOn w:val="815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27" w:customStyle="1">
    <w:name w:val="List Table 6 Colorful - Accent 2"/>
    <w:basedOn w:val="815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28" w:customStyle="1">
    <w:name w:val="List Table 6 Colorful - Accent 3"/>
    <w:basedOn w:val="815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29" w:customStyle="1">
    <w:name w:val="List Table 6 Colorful - Accent 4"/>
    <w:basedOn w:val="815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30" w:customStyle="1">
    <w:name w:val="List Table 6 Colorful - Accent 5"/>
    <w:basedOn w:val="815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31" w:customStyle="1">
    <w:name w:val="List Table 6 Colorful - Accent 6"/>
    <w:basedOn w:val="815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32">
    <w:name w:val="List Table 7 Colorful"/>
    <w:basedOn w:val="815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3" w:customStyle="1">
    <w:name w:val="List Table 7 Colorful - Accent 1"/>
    <w:basedOn w:val="815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4" w:customStyle="1">
    <w:name w:val="List Table 7 Colorful - Accent 2"/>
    <w:basedOn w:val="815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5" w:customStyle="1">
    <w:name w:val="List Table 7 Colorful - Accent 3"/>
    <w:basedOn w:val="815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6" w:customStyle="1">
    <w:name w:val="List Table 7 Colorful - Accent 4"/>
    <w:basedOn w:val="815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7" w:customStyle="1">
    <w:name w:val="List Table 7 Colorful - Accent 5"/>
    <w:basedOn w:val="815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8" w:customStyle="1">
    <w:name w:val="List Table 7 Colorful - Accent 6"/>
    <w:basedOn w:val="815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9" w:customStyle="1">
    <w:name w:val="Lined - Accent"/>
    <w:basedOn w:val="81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40" w:customStyle="1">
    <w:name w:val="Lined - Accent 1"/>
    <w:basedOn w:val="81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41" w:customStyle="1">
    <w:name w:val="Lined - Accent 2"/>
    <w:basedOn w:val="81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42" w:customStyle="1">
    <w:name w:val="Lined - Accent 3"/>
    <w:basedOn w:val="81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43" w:customStyle="1">
    <w:name w:val="Lined - Accent 4"/>
    <w:basedOn w:val="81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44" w:customStyle="1">
    <w:name w:val="Lined - Accent 5"/>
    <w:basedOn w:val="81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45" w:customStyle="1">
    <w:name w:val="Lined - Accent 6"/>
    <w:basedOn w:val="81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46" w:customStyle="1">
    <w:name w:val="Bordered &amp; Lined - Accent"/>
    <w:basedOn w:val="815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47" w:customStyle="1">
    <w:name w:val="Bordered &amp; Lined - Accent 1"/>
    <w:basedOn w:val="815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48" w:customStyle="1">
    <w:name w:val="Bordered &amp; Lined - Accent 2"/>
    <w:basedOn w:val="815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49" w:customStyle="1">
    <w:name w:val="Bordered &amp; Lined - Accent 3"/>
    <w:basedOn w:val="815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50" w:customStyle="1">
    <w:name w:val="Bordered &amp; Lined - Accent 4"/>
    <w:basedOn w:val="815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51" w:customStyle="1">
    <w:name w:val="Bordered &amp; Lined - Accent 5"/>
    <w:basedOn w:val="815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52" w:customStyle="1">
    <w:name w:val="Bordered &amp; Lined - Accent 6"/>
    <w:basedOn w:val="815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53" w:customStyle="1">
    <w:name w:val="Bordered"/>
    <w:basedOn w:val="815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54" w:customStyle="1">
    <w:name w:val="Bordered - Accent 1"/>
    <w:basedOn w:val="815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55" w:customStyle="1">
    <w:name w:val="Bordered - Accent 2"/>
    <w:basedOn w:val="815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56" w:customStyle="1">
    <w:name w:val="Bordered - Accent 3"/>
    <w:basedOn w:val="815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57" w:customStyle="1">
    <w:name w:val="Bordered - Accent 4"/>
    <w:basedOn w:val="815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58" w:customStyle="1">
    <w:name w:val="Bordered - Accent 5"/>
    <w:basedOn w:val="815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59" w:customStyle="1">
    <w:name w:val="Bordered - Accent 6"/>
    <w:basedOn w:val="815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60" w:customStyle="1">
    <w:name w:val="Footnote Text Char"/>
    <w:uiPriority w:val="99"/>
    <w:rPr>
      <w:sz w:val="18"/>
    </w:rPr>
  </w:style>
  <w:style w:type="character" w:styleId="961" w:customStyle="1">
    <w:name w:val="Endnote Text Char"/>
    <w:uiPriority w:val="99"/>
    <w:rPr>
      <w:sz w:val="20"/>
    </w:rPr>
  </w:style>
  <w:style w:type="paragraph" w:styleId="962">
    <w:name w:val="TOC Heading"/>
    <w:uiPriority w:val="39"/>
    <w:unhideWhenUsed/>
  </w:style>
  <w:style w:type="paragraph" w:styleId="963">
    <w:name w:val="table of figures"/>
    <w:basedOn w:val="804"/>
    <w:next w:val="804"/>
    <w:uiPriority w:val="99"/>
    <w:unhideWhenUsed/>
    <w:pPr>
      <w:spacing w:after="0"/>
    </w:pPr>
  </w:style>
  <w:style w:type="character" w:styleId="964" w:customStyle="1">
    <w:name w:val="Заголовок 1 Знак1"/>
    <w:link w:val="805"/>
    <w:uiPriority w:val="99"/>
    <w:rPr>
      <w:b/>
      <w:bCs/>
      <w:sz w:val="36"/>
      <w:szCs w:val="36"/>
    </w:rPr>
  </w:style>
  <w:style w:type="character" w:styleId="965" w:customStyle="1">
    <w:name w:val="Заголовок 2 Знак"/>
    <w:link w:val="806"/>
    <w:rPr>
      <w:b/>
      <w:bCs/>
      <w:sz w:val="30"/>
      <w:szCs w:val="30"/>
    </w:rPr>
  </w:style>
  <w:style w:type="character" w:styleId="966" w:customStyle="1">
    <w:name w:val="Заголовок 3 Знак"/>
    <w:link w:val="807"/>
    <w:uiPriority w:val="99"/>
    <w:rPr>
      <w:rFonts w:ascii="Arial" w:hAnsi="Arial" w:cs="Arial"/>
      <w:b/>
      <w:bCs/>
      <w:sz w:val="24"/>
      <w:szCs w:val="24"/>
    </w:rPr>
  </w:style>
  <w:style w:type="character" w:styleId="967" w:customStyle="1">
    <w:name w:val="Заголовок 4 Знак"/>
    <w:link w:val="808"/>
    <w:uiPriority w:val="99"/>
    <w:rPr>
      <w:rFonts w:ascii="Arial" w:hAnsi="Arial" w:cs="Arial"/>
      <w:sz w:val="24"/>
      <w:szCs w:val="24"/>
    </w:rPr>
  </w:style>
  <w:style w:type="character" w:styleId="968" w:customStyle="1">
    <w:name w:val="Заголовок 5 Знак"/>
    <w:link w:val="809"/>
    <w:uiPriority w:val="99"/>
    <w:rPr>
      <w:rFonts w:ascii="Calibri" w:hAnsi="Calibri" w:cs="Calibri"/>
      <w:b/>
      <w:bCs/>
      <w:i/>
      <w:iCs/>
      <w:sz w:val="26"/>
      <w:szCs w:val="26"/>
    </w:rPr>
  </w:style>
  <w:style w:type="character" w:styleId="969" w:customStyle="1">
    <w:name w:val="Заголовок 6 Знак"/>
    <w:link w:val="810"/>
    <w:uiPriority w:val="99"/>
    <w:rPr>
      <w:i/>
      <w:iCs/>
    </w:rPr>
  </w:style>
  <w:style w:type="character" w:styleId="970" w:customStyle="1">
    <w:name w:val="Заголовок 7 Знак"/>
    <w:link w:val="811"/>
    <w:uiPriority w:val="99"/>
    <w:rPr>
      <w:rFonts w:ascii="Arial" w:hAnsi="Arial" w:cs="Arial"/>
      <w:sz w:val="20"/>
      <w:szCs w:val="20"/>
    </w:rPr>
  </w:style>
  <w:style w:type="character" w:styleId="971" w:customStyle="1">
    <w:name w:val="Заголовок 8 Знак"/>
    <w:link w:val="812"/>
    <w:uiPriority w:val="99"/>
    <w:rPr>
      <w:rFonts w:ascii="Arial" w:hAnsi="Arial" w:cs="Arial"/>
      <w:i/>
      <w:iCs/>
      <w:sz w:val="20"/>
      <w:szCs w:val="20"/>
    </w:rPr>
  </w:style>
  <w:style w:type="character" w:styleId="972" w:customStyle="1">
    <w:name w:val="Заголовок 9 Знак"/>
    <w:link w:val="813"/>
    <w:uiPriority w:val="99"/>
    <w:rPr>
      <w:rFonts w:ascii="Arial" w:hAnsi="Arial" w:cs="Arial"/>
      <w:b/>
      <w:bCs/>
      <w:i/>
      <w:iCs/>
      <w:sz w:val="18"/>
      <w:szCs w:val="18"/>
    </w:rPr>
  </w:style>
  <w:style w:type="paragraph" w:styleId="973" w:customStyle="1">
    <w:name w:val="Основной текст с отступом1"/>
    <w:basedOn w:val="804"/>
    <w:uiPriority w:val="99"/>
    <w:pPr>
      <w:ind w:firstLine="851"/>
      <w:spacing w:before="60" w:after="0"/>
    </w:pPr>
  </w:style>
  <w:style w:type="paragraph" w:styleId="974">
    <w:name w:val="Body Text Indent"/>
    <w:basedOn w:val="804"/>
    <w:link w:val="975"/>
    <w:uiPriority w:val="99"/>
    <w:pPr>
      <w:numPr>
        <w:ilvl w:val="1"/>
        <w:numId w:val="4"/>
      </w:numPr>
    </w:pPr>
  </w:style>
  <w:style w:type="character" w:styleId="975" w:customStyle="1">
    <w:name w:val="Основной текст с отступом Знак"/>
    <w:link w:val="974"/>
    <w:uiPriority w:val="99"/>
    <w:rPr>
      <w:sz w:val="24"/>
      <w:szCs w:val="24"/>
    </w:rPr>
  </w:style>
  <w:style w:type="paragraph" w:styleId="976">
    <w:name w:val="List Bullet"/>
    <w:basedOn w:val="804"/>
    <w:uiPriority w:val="99"/>
    <w:pPr>
      <w:widowControl w:val="off"/>
    </w:pPr>
  </w:style>
  <w:style w:type="paragraph" w:styleId="977">
    <w:name w:val="List Bullet 2"/>
    <w:basedOn w:val="804"/>
    <w:uiPriority w:val="99"/>
    <w:pPr>
      <w:ind w:left="643" w:hanging="360"/>
      <w:tabs>
        <w:tab w:val="num" w:pos="643" w:leader="none"/>
      </w:tabs>
    </w:pPr>
  </w:style>
  <w:style w:type="paragraph" w:styleId="978">
    <w:name w:val="List Bullet 3"/>
    <w:basedOn w:val="804"/>
    <w:uiPriority w:val="99"/>
    <w:pPr>
      <w:ind w:left="926" w:hanging="360"/>
      <w:tabs>
        <w:tab w:val="num" w:pos="643" w:leader="none"/>
        <w:tab w:val="num" w:pos="926" w:leader="none"/>
      </w:tabs>
    </w:pPr>
  </w:style>
  <w:style w:type="paragraph" w:styleId="979">
    <w:name w:val="List Bullet 4"/>
    <w:basedOn w:val="804"/>
    <w:uiPriority w:val="99"/>
    <w:pPr>
      <w:ind w:left="1209" w:hanging="360"/>
      <w:tabs>
        <w:tab w:val="num" w:pos="926" w:leader="none"/>
        <w:tab w:val="num" w:pos="1209" w:leader="none"/>
      </w:tabs>
    </w:pPr>
  </w:style>
  <w:style w:type="paragraph" w:styleId="980">
    <w:name w:val="List Bullet 5"/>
    <w:basedOn w:val="804"/>
    <w:uiPriority w:val="99"/>
    <w:pPr>
      <w:ind w:left="1492" w:hanging="360"/>
      <w:tabs>
        <w:tab w:val="num" w:pos="1209" w:leader="none"/>
        <w:tab w:val="num" w:pos="1492" w:leader="none"/>
      </w:tabs>
    </w:pPr>
  </w:style>
  <w:style w:type="paragraph" w:styleId="981">
    <w:name w:val="List Number"/>
    <w:basedOn w:val="804"/>
    <w:uiPriority w:val="99"/>
    <w:pPr>
      <w:ind w:left="360" w:hanging="360"/>
      <w:tabs>
        <w:tab w:val="num" w:pos="1492" w:leader="none"/>
      </w:tabs>
    </w:pPr>
  </w:style>
  <w:style w:type="paragraph" w:styleId="982">
    <w:name w:val="List Number 2"/>
    <w:basedOn w:val="804"/>
    <w:uiPriority w:val="99"/>
    <w:pPr>
      <w:ind w:left="643" w:hanging="360"/>
      <w:tabs>
        <w:tab w:val="num" w:pos="643" w:leader="none"/>
      </w:tabs>
    </w:pPr>
  </w:style>
  <w:style w:type="paragraph" w:styleId="983">
    <w:name w:val="List Number 3"/>
    <w:basedOn w:val="804"/>
    <w:uiPriority w:val="99"/>
    <w:pPr>
      <w:ind w:left="926" w:hanging="360"/>
      <w:tabs>
        <w:tab w:val="num" w:pos="643" w:leader="none"/>
        <w:tab w:val="num" w:pos="926" w:leader="none"/>
      </w:tabs>
    </w:pPr>
  </w:style>
  <w:style w:type="paragraph" w:styleId="984">
    <w:name w:val="List Number 4"/>
    <w:basedOn w:val="804"/>
    <w:uiPriority w:val="99"/>
    <w:pPr>
      <w:ind w:left="1209" w:hanging="360"/>
      <w:tabs>
        <w:tab w:val="num" w:pos="926" w:leader="none"/>
        <w:tab w:val="num" w:pos="1209" w:leader="none"/>
      </w:tabs>
    </w:pPr>
  </w:style>
  <w:style w:type="paragraph" w:styleId="985">
    <w:name w:val="List Number 5"/>
    <w:basedOn w:val="804"/>
    <w:uiPriority w:val="99"/>
    <w:pPr>
      <w:ind w:left="1492" w:hanging="360"/>
      <w:tabs>
        <w:tab w:val="num" w:pos="1209" w:leader="none"/>
        <w:tab w:val="num" w:pos="1492" w:leader="none"/>
      </w:tabs>
    </w:pPr>
  </w:style>
  <w:style w:type="paragraph" w:styleId="986" w:customStyle="1">
    <w:name w:val="Раздел"/>
    <w:basedOn w:val="804"/>
    <w:uiPriority w:val="99"/>
    <w:semiHidden/>
    <w:pPr>
      <w:numPr>
        <w:ilvl w:val="1"/>
        <w:numId w:val="2"/>
      </w:numPr>
      <w:jc w:val="center"/>
      <w:spacing w:before="120" w:after="120"/>
    </w:pPr>
    <w:rPr>
      <w:rFonts w:ascii="Arial Narrow" w:hAnsi="Arial Narrow" w:cs="Arial Narrow"/>
      <w:b/>
      <w:bCs/>
      <w:sz w:val="28"/>
      <w:szCs w:val="28"/>
    </w:rPr>
  </w:style>
  <w:style w:type="paragraph" w:styleId="987" w:customStyle="1">
    <w:name w:val="Часть"/>
    <w:basedOn w:val="804"/>
    <w:uiPriority w:val="99"/>
    <w:semiHidden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styleId="988" w:customStyle="1">
    <w:name w:val="Раздел 3"/>
    <w:basedOn w:val="804"/>
    <w:uiPriority w:val="99"/>
    <w:semiHidden/>
    <w:pPr>
      <w:numPr>
        <w:ilvl w:val="0"/>
        <w:numId w:val="3"/>
      </w:numPr>
      <w:jc w:val="center"/>
      <w:spacing w:before="120" w:after="120"/>
    </w:pPr>
    <w:rPr>
      <w:b/>
      <w:bCs/>
    </w:rPr>
  </w:style>
  <w:style w:type="paragraph" w:styleId="989" w:customStyle="1">
    <w:name w:val="Условия контракта"/>
    <w:basedOn w:val="804"/>
    <w:uiPriority w:val="99"/>
    <w:semiHidden/>
    <w:pPr>
      <w:numPr>
        <w:ilvl w:val="0"/>
        <w:numId w:val="4"/>
      </w:numPr>
      <w:spacing w:before="240" w:after="120"/>
    </w:pPr>
    <w:rPr>
      <w:b/>
      <w:bCs/>
    </w:rPr>
  </w:style>
  <w:style w:type="paragraph" w:styleId="990" w:customStyle="1">
    <w:name w:val="Instruction"/>
    <w:basedOn w:val="974"/>
    <w:uiPriority w:val="99"/>
    <w:semiHidden/>
    <w:pPr>
      <w:numPr>
        <w:ilvl w:val="0"/>
        <w:numId w:val="0"/>
      </w:numPr>
      <w:ind w:left="360" w:hanging="360"/>
      <w:spacing w:before="180"/>
      <w:tabs>
        <w:tab w:val="num" w:pos="360" w:leader="none"/>
      </w:tabs>
    </w:pPr>
    <w:rPr>
      <w:b/>
      <w:bCs/>
    </w:rPr>
  </w:style>
  <w:style w:type="paragraph" w:styleId="991">
    <w:name w:val="Title"/>
    <w:basedOn w:val="804"/>
    <w:link w:val="992"/>
    <w:qFormat/>
    <w:pPr>
      <w:jc w:val="center"/>
      <w:spacing w:before="240"/>
      <w:outlineLvl w:val="0"/>
    </w:pPr>
    <w:rPr>
      <w:rFonts w:ascii="Cambria" w:hAnsi="Cambria" w:cs="Cambria"/>
      <w:b/>
      <w:bCs/>
      <w:sz w:val="32"/>
      <w:szCs w:val="32"/>
    </w:rPr>
  </w:style>
  <w:style w:type="character" w:styleId="992" w:customStyle="1">
    <w:name w:val="Заголовок Знак"/>
    <w:link w:val="991"/>
    <w:rPr>
      <w:rFonts w:ascii="Cambria" w:hAnsi="Cambria" w:cs="Cambria"/>
      <w:b/>
      <w:bCs/>
      <w:sz w:val="32"/>
      <w:szCs w:val="32"/>
    </w:rPr>
  </w:style>
  <w:style w:type="paragraph" w:styleId="993">
    <w:name w:val="Subtitle"/>
    <w:basedOn w:val="804"/>
    <w:link w:val="994"/>
    <w:uiPriority w:val="99"/>
    <w:qFormat/>
    <w:pPr>
      <w:jc w:val="center"/>
      <w:outlineLvl w:val="1"/>
    </w:pPr>
    <w:rPr>
      <w:rFonts w:ascii="Cambria" w:hAnsi="Cambria" w:cs="Cambria"/>
    </w:rPr>
  </w:style>
  <w:style w:type="character" w:styleId="994" w:customStyle="1">
    <w:name w:val="Подзаголовок Знак"/>
    <w:link w:val="993"/>
    <w:uiPriority w:val="99"/>
    <w:rPr>
      <w:rFonts w:ascii="Cambria" w:hAnsi="Cambria" w:cs="Cambria"/>
      <w:sz w:val="24"/>
      <w:szCs w:val="24"/>
    </w:rPr>
  </w:style>
  <w:style w:type="paragraph" w:styleId="995" w:customStyle="1">
    <w:name w:val="Тендерные данные"/>
    <w:basedOn w:val="804"/>
    <w:uiPriority w:val="99"/>
    <w:semiHidden/>
    <w:pPr>
      <w:spacing w:before="120"/>
      <w:tabs>
        <w:tab w:val="left" w:pos="1985" w:leader="none"/>
      </w:tabs>
    </w:pPr>
    <w:rPr>
      <w:b/>
      <w:bCs/>
    </w:rPr>
  </w:style>
  <w:style w:type="paragraph" w:styleId="996">
    <w:name w:val="toc 3"/>
    <w:basedOn w:val="804"/>
    <w:next w:val="804"/>
    <w:uiPriority w:val="39"/>
    <w:pPr>
      <w:ind w:left="480"/>
      <w:jc w:val="left"/>
      <w:spacing w:after="0"/>
    </w:pPr>
    <w:rPr>
      <w:i/>
      <w:iCs/>
      <w:sz w:val="20"/>
      <w:szCs w:val="20"/>
    </w:rPr>
  </w:style>
  <w:style w:type="paragraph" w:styleId="997">
    <w:name w:val="toc 1"/>
    <w:basedOn w:val="804"/>
    <w:next w:val="804"/>
    <w:uiPriority w:val="39"/>
    <w:pPr>
      <w:jc w:val="left"/>
      <w:spacing w:before="120" w:after="120"/>
    </w:pPr>
    <w:rPr>
      <w:b/>
      <w:bCs/>
      <w:caps/>
      <w:sz w:val="20"/>
      <w:szCs w:val="20"/>
    </w:rPr>
  </w:style>
  <w:style w:type="paragraph" w:styleId="998">
    <w:name w:val="toc 2"/>
    <w:basedOn w:val="804"/>
    <w:next w:val="804"/>
    <w:uiPriority w:val="39"/>
    <w:pPr>
      <w:ind w:left="240"/>
      <w:jc w:val="left"/>
      <w:spacing w:after="0"/>
    </w:pPr>
    <w:rPr>
      <w:smallCaps/>
      <w:sz w:val="20"/>
      <w:szCs w:val="20"/>
    </w:rPr>
  </w:style>
  <w:style w:type="paragraph" w:styleId="999">
    <w:name w:val="Date"/>
    <w:basedOn w:val="804"/>
    <w:next w:val="804"/>
    <w:link w:val="1000"/>
    <w:uiPriority w:val="99"/>
  </w:style>
  <w:style w:type="character" w:styleId="1000" w:customStyle="1">
    <w:name w:val="Дата Знак"/>
    <w:link w:val="999"/>
    <w:uiPriority w:val="99"/>
    <w:semiHidden/>
    <w:rPr>
      <w:sz w:val="24"/>
      <w:szCs w:val="24"/>
    </w:rPr>
  </w:style>
  <w:style w:type="paragraph" w:styleId="1001" w:customStyle="1">
    <w:name w:val="Îáû÷íûé"/>
    <w:uiPriority w:val="99"/>
    <w:semiHidden/>
  </w:style>
  <w:style w:type="paragraph" w:styleId="1002" w:customStyle="1">
    <w:name w:val="Íîðìàëüíûé"/>
    <w:uiPriority w:val="99"/>
    <w:semiHidden/>
    <w:rPr>
      <w:rFonts w:ascii="Courier" w:hAnsi="Courier" w:cs="Courier"/>
      <w:sz w:val="24"/>
      <w:szCs w:val="24"/>
      <w:lang w:val="en-GB"/>
    </w:rPr>
  </w:style>
  <w:style w:type="paragraph" w:styleId="1003">
    <w:name w:val="Body Text"/>
    <w:basedOn w:val="804"/>
    <w:link w:val="1004"/>
    <w:uiPriority w:val="99"/>
    <w:pPr>
      <w:spacing w:after="120"/>
    </w:pPr>
  </w:style>
  <w:style w:type="character" w:styleId="1004" w:customStyle="1">
    <w:name w:val="Основной текст Знак"/>
    <w:link w:val="1003"/>
    <w:uiPriority w:val="99"/>
    <w:rPr>
      <w:sz w:val="24"/>
      <w:szCs w:val="24"/>
    </w:rPr>
  </w:style>
  <w:style w:type="paragraph" w:styleId="1005" w:customStyle="1">
    <w:name w:val="Подраздел"/>
    <w:basedOn w:val="804"/>
    <w:uiPriority w:val="99"/>
    <w:semiHidden/>
    <w:pPr>
      <w:jc w:val="center"/>
      <w:spacing w:before="240" w:after="120"/>
    </w:pPr>
    <w:rPr>
      <w:rFonts w:ascii="TimesDL" w:hAnsi="TimesDL" w:cs="TimesDL"/>
      <w:b/>
      <w:bCs/>
      <w:smallCaps/>
      <w:spacing w:val="-2"/>
    </w:rPr>
  </w:style>
  <w:style w:type="paragraph" w:styleId="1006">
    <w:name w:val="Body Text Indent 2"/>
    <w:basedOn w:val="804"/>
    <w:link w:val="1007"/>
    <w:uiPriority w:val="99"/>
    <w:pPr>
      <w:ind w:left="283"/>
      <w:spacing w:after="120" w:line="480" w:lineRule="auto"/>
    </w:pPr>
  </w:style>
  <w:style w:type="character" w:styleId="1007" w:customStyle="1">
    <w:name w:val="Основной текст с отступом 2 Знак"/>
    <w:link w:val="1006"/>
    <w:uiPriority w:val="99"/>
    <w:semiHidden/>
    <w:rPr>
      <w:sz w:val="24"/>
      <w:szCs w:val="24"/>
    </w:rPr>
  </w:style>
  <w:style w:type="paragraph" w:styleId="1008">
    <w:name w:val="Body Text Indent 3"/>
    <w:basedOn w:val="804"/>
    <w:link w:val="1009"/>
    <w:uiPriority w:val="99"/>
    <w:pPr>
      <w:ind w:left="283"/>
      <w:spacing w:after="120"/>
    </w:pPr>
    <w:rPr>
      <w:sz w:val="16"/>
      <w:szCs w:val="16"/>
    </w:rPr>
  </w:style>
  <w:style w:type="character" w:styleId="1009" w:customStyle="1">
    <w:name w:val="Основной текст с отступом 3 Знак"/>
    <w:link w:val="1008"/>
    <w:uiPriority w:val="99"/>
    <w:semiHidden/>
    <w:rPr>
      <w:sz w:val="16"/>
      <w:szCs w:val="16"/>
    </w:rPr>
  </w:style>
  <w:style w:type="paragraph" w:styleId="1010">
    <w:name w:val="Header"/>
    <w:basedOn w:val="804"/>
    <w:link w:val="1011"/>
    <w:uiPriority w:val="99"/>
    <w:pPr>
      <w:spacing w:before="120" w:after="120"/>
      <w:tabs>
        <w:tab w:val="center" w:pos="4153" w:leader="none"/>
        <w:tab w:val="right" w:pos="8306" w:leader="none"/>
      </w:tabs>
    </w:pPr>
  </w:style>
  <w:style w:type="character" w:styleId="1011" w:customStyle="1">
    <w:name w:val="Верхний колонтитул Знак"/>
    <w:link w:val="1010"/>
    <w:uiPriority w:val="99"/>
    <w:semiHidden/>
    <w:rPr>
      <w:sz w:val="24"/>
      <w:szCs w:val="24"/>
    </w:rPr>
  </w:style>
  <w:style w:type="paragraph" w:styleId="1012">
    <w:name w:val="Block Text"/>
    <w:basedOn w:val="804"/>
    <w:uiPriority w:val="99"/>
    <w:pPr>
      <w:ind w:left="1440" w:right="1440"/>
      <w:spacing w:after="120"/>
    </w:pPr>
  </w:style>
  <w:style w:type="character" w:styleId="1013">
    <w:name w:val="footnote reference"/>
    <w:uiPriority w:val="99"/>
    <w:rPr>
      <w:rFonts w:ascii="Times New Roman" w:hAnsi="Times New Roman" w:cs="Times New Roman"/>
      <w:vertAlign w:val="superscript"/>
    </w:rPr>
  </w:style>
  <w:style w:type="paragraph" w:styleId="1014">
    <w:name w:val="footnote text"/>
    <w:basedOn w:val="804"/>
    <w:link w:val="1015"/>
    <w:uiPriority w:val="99"/>
    <w:rPr>
      <w:sz w:val="20"/>
      <w:szCs w:val="20"/>
    </w:rPr>
  </w:style>
  <w:style w:type="character" w:styleId="1015" w:customStyle="1">
    <w:name w:val="Текст сноски Знак"/>
    <w:link w:val="1014"/>
    <w:uiPriority w:val="99"/>
    <w:rPr>
      <w:sz w:val="20"/>
      <w:szCs w:val="20"/>
    </w:rPr>
  </w:style>
  <w:style w:type="character" w:styleId="1016">
    <w:name w:val="page number"/>
    <w:uiPriority w:val="99"/>
    <w:rPr>
      <w:rFonts w:ascii="Times New Roman" w:hAnsi="Times New Roman" w:cs="Times New Roman"/>
    </w:rPr>
  </w:style>
  <w:style w:type="paragraph" w:styleId="1017">
    <w:name w:val="Footer"/>
    <w:basedOn w:val="804"/>
    <w:link w:val="1018"/>
    <w:uiPriority w:val="99"/>
    <w:pPr>
      <w:tabs>
        <w:tab w:val="center" w:pos="4153" w:leader="none"/>
        <w:tab w:val="right" w:pos="8306" w:leader="none"/>
      </w:tabs>
    </w:pPr>
  </w:style>
  <w:style w:type="character" w:styleId="1018" w:customStyle="1">
    <w:name w:val="Нижний колонтитул Знак"/>
    <w:link w:val="1017"/>
    <w:uiPriority w:val="99"/>
    <w:rPr>
      <w:sz w:val="24"/>
      <w:szCs w:val="24"/>
    </w:rPr>
  </w:style>
  <w:style w:type="paragraph" w:styleId="1019">
    <w:name w:val="Body Text 3"/>
    <w:basedOn w:val="804"/>
    <w:link w:val="1020"/>
    <w:uiPriority w:val="99"/>
    <w:pPr>
      <w:keepLines/>
      <w:keepNext/>
      <w:spacing w:before="148" w:after="112"/>
      <w:widowControl w:val="off"/>
      <w:tabs>
        <w:tab w:val="left" w:pos="0" w:leader="none"/>
        <w:tab w:val="left" w:pos="567" w:leader="none"/>
        <w:tab w:val="left" w:pos="1133" w:leader="none"/>
        <w:tab w:val="left" w:pos="1699" w:leader="none"/>
        <w:tab w:val="left" w:pos="2266" w:leader="none"/>
        <w:tab w:val="left" w:pos="2832" w:leader="none"/>
        <w:tab w:val="left" w:pos="3399" w:leader="none"/>
        <w:tab w:val="left" w:pos="3965" w:leader="none"/>
        <w:tab w:val="left" w:pos="4531" w:leader="none"/>
        <w:tab w:val="left" w:pos="5098" w:leader="none"/>
        <w:tab w:val="left" w:pos="5664" w:leader="none"/>
        <w:tab w:val="left" w:pos="6231" w:leader="none"/>
        <w:tab w:val="left" w:pos="6797" w:leader="none"/>
        <w:tab w:val="left" w:pos="7363" w:leader="none"/>
        <w:tab w:val="left" w:pos="7930" w:leader="none"/>
        <w:tab w:val="left" w:pos="8496" w:leader="none"/>
        <w:tab w:val="left" w:pos="9063" w:leader="none"/>
      </w:tabs>
      <w:suppressLineNumbers/>
    </w:pPr>
    <w:rPr>
      <w:sz w:val="16"/>
      <w:szCs w:val="16"/>
    </w:rPr>
  </w:style>
  <w:style w:type="character" w:styleId="1020" w:customStyle="1">
    <w:name w:val="Основной текст 3 Знак"/>
    <w:link w:val="1019"/>
    <w:uiPriority w:val="99"/>
    <w:semiHidden/>
    <w:rPr>
      <w:sz w:val="16"/>
      <w:szCs w:val="16"/>
    </w:rPr>
  </w:style>
  <w:style w:type="paragraph" w:styleId="1021">
    <w:name w:val="Plain Text"/>
    <w:basedOn w:val="804"/>
    <w:link w:val="1022"/>
    <w:pPr>
      <w:jc w:val="left"/>
      <w:spacing w:after="0"/>
    </w:pPr>
    <w:rPr>
      <w:rFonts w:ascii="Courier New" w:hAnsi="Courier New" w:cs="Courier New"/>
      <w:sz w:val="20"/>
      <w:szCs w:val="20"/>
    </w:rPr>
  </w:style>
  <w:style w:type="character" w:styleId="1022" w:customStyle="1">
    <w:name w:val="Текст Знак"/>
    <w:link w:val="1021"/>
    <w:rPr>
      <w:rFonts w:ascii="Courier New" w:hAnsi="Courier New" w:cs="Courier New"/>
      <w:sz w:val="20"/>
      <w:szCs w:val="20"/>
    </w:rPr>
  </w:style>
  <w:style w:type="paragraph" w:styleId="1023" w:customStyle="1">
    <w:name w:val="ConsNormal"/>
    <w:pPr>
      <w:ind w:right="19772" w:firstLine="720"/>
      <w:widowControl w:val="off"/>
    </w:pPr>
    <w:rPr>
      <w:rFonts w:ascii="Arial" w:hAnsi="Arial" w:cs="Arial"/>
    </w:rPr>
  </w:style>
  <w:style w:type="character" w:styleId="1024" w:customStyle="1">
    <w:name w:val="Знак Знак"/>
    <w:uiPriority w:val="99"/>
    <w:semiHidden/>
    <w:rPr>
      <w:rFonts w:ascii="Arial" w:hAnsi="Arial" w:cs="Arial"/>
      <w:sz w:val="24"/>
      <w:szCs w:val="24"/>
      <w:lang w:val="ru-RU" w:eastAsia="ru-RU"/>
    </w:rPr>
  </w:style>
  <w:style w:type="paragraph" w:styleId="1025">
    <w:name w:val="Normal (Web)"/>
    <w:basedOn w:val="804"/>
    <w:uiPriority w:val="99"/>
    <w:pPr>
      <w:jc w:val="left"/>
      <w:spacing w:before="100" w:beforeAutospacing="1" w:after="100" w:afterAutospacing="1"/>
    </w:pPr>
  </w:style>
  <w:style w:type="paragraph" w:styleId="1026" w:customStyle="1">
    <w:name w:val="ConsNonformat"/>
    <w:uiPriority w:val="99"/>
    <w:semiHidden/>
    <w:pPr>
      <w:ind w:right="19772"/>
      <w:widowControl w:val="off"/>
    </w:pPr>
    <w:rPr>
      <w:rFonts w:ascii="Courier New" w:hAnsi="Courier New" w:cs="Courier New"/>
    </w:rPr>
  </w:style>
  <w:style w:type="character" w:styleId="1027" w:customStyle="1">
    <w:name w:val="Основной шрифт"/>
    <w:uiPriority w:val="99"/>
    <w:semiHidden/>
  </w:style>
  <w:style w:type="paragraph" w:styleId="1028">
    <w:name w:val="HTML Address"/>
    <w:basedOn w:val="804"/>
    <w:link w:val="1029"/>
    <w:uiPriority w:val="99"/>
    <w:rPr>
      <w:i/>
      <w:iCs/>
    </w:rPr>
  </w:style>
  <w:style w:type="character" w:styleId="1029" w:customStyle="1">
    <w:name w:val="Адрес HTML Знак"/>
    <w:link w:val="1028"/>
    <w:uiPriority w:val="99"/>
    <w:semiHidden/>
    <w:rPr>
      <w:i/>
      <w:iCs/>
      <w:sz w:val="24"/>
      <w:szCs w:val="24"/>
    </w:rPr>
  </w:style>
  <w:style w:type="paragraph" w:styleId="1030">
    <w:name w:val="envelope address"/>
    <w:basedOn w:val="804"/>
    <w:uiPriority w:val="99"/>
    <w:pPr>
      <w:ind w:left="2880"/>
      <w:framePr w:w="7920" w:h="1980" w:hSpace="180" w:wrap="auto" w:hAnchor="page" w:xAlign="center" w:yAlign="bottom" w:hRule="exact"/>
    </w:pPr>
    <w:rPr>
      <w:rFonts w:ascii="Arial" w:hAnsi="Arial" w:cs="Arial"/>
    </w:rPr>
  </w:style>
  <w:style w:type="character" w:styleId="1031">
    <w:name w:val="HTML Acronym"/>
    <w:basedOn w:val="814"/>
    <w:uiPriority w:val="99"/>
  </w:style>
  <w:style w:type="character" w:styleId="1032">
    <w:name w:val="Emphasis"/>
    <w:uiPriority w:val="99"/>
    <w:qFormat/>
    <w:rPr>
      <w:i/>
      <w:iCs/>
    </w:rPr>
  </w:style>
  <w:style w:type="character" w:styleId="1033">
    <w:name w:val="Hyperlink"/>
    <w:uiPriority w:val="99"/>
    <w:rPr>
      <w:color w:val="0000ff"/>
      <w:u w:val="single"/>
    </w:rPr>
  </w:style>
  <w:style w:type="paragraph" w:styleId="1034">
    <w:name w:val="Note Heading"/>
    <w:basedOn w:val="804"/>
    <w:next w:val="804"/>
    <w:link w:val="1035"/>
    <w:uiPriority w:val="99"/>
  </w:style>
  <w:style w:type="character" w:styleId="1035" w:customStyle="1">
    <w:name w:val="Заголовок записки Знак"/>
    <w:link w:val="1034"/>
    <w:uiPriority w:val="99"/>
    <w:semiHidden/>
    <w:rPr>
      <w:sz w:val="24"/>
      <w:szCs w:val="24"/>
    </w:rPr>
  </w:style>
  <w:style w:type="character" w:styleId="1036">
    <w:name w:val="HTML Keyboard"/>
    <w:uiPriority w:val="99"/>
    <w:rPr>
      <w:rFonts w:ascii="Courier New" w:hAnsi="Courier New" w:cs="Courier New"/>
      <w:sz w:val="20"/>
      <w:szCs w:val="20"/>
    </w:rPr>
  </w:style>
  <w:style w:type="character" w:styleId="1037">
    <w:name w:val="HTML Code"/>
    <w:uiPriority w:val="99"/>
    <w:rPr>
      <w:rFonts w:ascii="Courier New" w:hAnsi="Courier New" w:cs="Courier New"/>
      <w:sz w:val="20"/>
      <w:szCs w:val="20"/>
    </w:rPr>
  </w:style>
  <w:style w:type="paragraph" w:styleId="1038">
    <w:name w:val="Body Text First Indent"/>
    <w:basedOn w:val="1003"/>
    <w:link w:val="1039"/>
    <w:uiPriority w:val="99"/>
    <w:pPr>
      <w:ind w:firstLine="210"/>
    </w:pPr>
  </w:style>
  <w:style w:type="character" w:styleId="1039" w:customStyle="1">
    <w:name w:val="Красная строка Знак"/>
    <w:basedOn w:val="1004"/>
    <w:link w:val="1038"/>
    <w:uiPriority w:val="99"/>
    <w:semiHidden/>
    <w:rPr>
      <w:sz w:val="24"/>
      <w:szCs w:val="24"/>
    </w:rPr>
  </w:style>
  <w:style w:type="paragraph" w:styleId="1040">
    <w:name w:val="Body Text First Indent 2"/>
    <w:basedOn w:val="973"/>
    <w:link w:val="1041"/>
    <w:uiPriority w:val="99"/>
    <w:pPr>
      <w:ind w:left="283" w:firstLine="210"/>
      <w:spacing w:before="0" w:after="120"/>
    </w:pPr>
  </w:style>
  <w:style w:type="character" w:styleId="1041" w:customStyle="1">
    <w:name w:val="Красная строка 2 Знак"/>
    <w:basedOn w:val="975"/>
    <w:link w:val="1040"/>
    <w:uiPriority w:val="99"/>
    <w:semiHidden/>
    <w:rPr>
      <w:sz w:val="24"/>
      <w:szCs w:val="24"/>
    </w:rPr>
  </w:style>
  <w:style w:type="character" w:styleId="1042">
    <w:name w:val="line number"/>
    <w:basedOn w:val="814"/>
    <w:uiPriority w:val="99"/>
  </w:style>
  <w:style w:type="character" w:styleId="1043">
    <w:name w:val="HTML Sample"/>
    <w:uiPriority w:val="99"/>
    <w:rPr>
      <w:rFonts w:ascii="Courier New" w:hAnsi="Courier New" w:cs="Courier New"/>
    </w:rPr>
  </w:style>
  <w:style w:type="paragraph" w:styleId="1044">
    <w:name w:val="envelope return"/>
    <w:basedOn w:val="804"/>
    <w:uiPriority w:val="99"/>
    <w:rPr>
      <w:rFonts w:ascii="Arial" w:hAnsi="Arial" w:cs="Arial"/>
      <w:sz w:val="20"/>
      <w:szCs w:val="20"/>
    </w:rPr>
  </w:style>
  <w:style w:type="paragraph" w:styleId="1045">
    <w:name w:val="Normal Indent"/>
    <w:basedOn w:val="804"/>
    <w:uiPriority w:val="99"/>
    <w:pPr>
      <w:ind w:left="708"/>
    </w:pPr>
  </w:style>
  <w:style w:type="character" w:styleId="1046">
    <w:name w:val="HTML Definition"/>
    <w:uiPriority w:val="99"/>
    <w:rPr>
      <w:i/>
      <w:iCs/>
    </w:rPr>
  </w:style>
  <w:style w:type="character" w:styleId="1047">
    <w:name w:val="HTML Variable"/>
    <w:uiPriority w:val="99"/>
    <w:rPr>
      <w:i/>
      <w:iCs/>
    </w:rPr>
  </w:style>
  <w:style w:type="character" w:styleId="1048">
    <w:name w:val="HTML Typewriter"/>
    <w:uiPriority w:val="99"/>
    <w:rPr>
      <w:rFonts w:ascii="Courier New" w:hAnsi="Courier New" w:cs="Courier New"/>
      <w:sz w:val="20"/>
      <w:szCs w:val="20"/>
    </w:rPr>
  </w:style>
  <w:style w:type="paragraph" w:styleId="1049">
    <w:name w:val="Signature"/>
    <w:basedOn w:val="804"/>
    <w:link w:val="1050"/>
    <w:uiPriority w:val="99"/>
    <w:pPr>
      <w:ind w:left="4252"/>
    </w:pPr>
  </w:style>
  <w:style w:type="character" w:styleId="1050" w:customStyle="1">
    <w:name w:val="Подпись Знак"/>
    <w:link w:val="1049"/>
    <w:uiPriority w:val="99"/>
    <w:semiHidden/>
    <w:rPr>
      <w:sz w:val="24"/>
      <w:szCs w:val="24"/>
    </w:rPr>
  </w:style>
  <w:style w:type="paragraph" w:styleId="1051">
    <w:name w:val="Salutation"/>
    <w:basedOn w:val="804"/>
    <w:next w:val="804"/>
    <w:link w:val="1052"/>
    <w:uiPriority w:val="99"/>
  </w:style>
  <w:style w:type="character" w:styleId="1052" w:customStyle="1">
    <w:name w:val="Приветствие Знак"/>
    <w:link w:val="1051"/>
    <w:uiPriority w:val="99"/>
    <w:semiHidden/>
    <w:rPr>
      <w:sz w:val="24"/>
      <w:szCs w:val="24"/>
    </w:rPr>
  </w:style>
  <w:style w:type="paragraph" w:styleId="1053">
    <w:name w:val="List Continue"/>
    <w:basedOn w:val="804"/>
    <w:uiPriority w:val="99"/>
    <w:pPr>
      <w:ind w:left="283"/>
      <w:spacing w:after="120"/>
    </w:pPr>
  </w:style>
  <w:style w:type="paragraph" w:styleId="1054">
    <w:name w:val="List Continue 2"/>
    <w:basedOn w:val="804"/>
    <w:uiPriority w:val="99"/>
    <w:pPr>
      <w:ind w:left="566"/>
      <w:spacing w:after="120"/>
    </w:pPr>
  </w:style>
  <w:style w:type="paragraph" w:styleId="1055">
    <w:name w:val="List Continue 3"/>
    <w:basedOn w:val="804"/>
    <w:uiPriority w:val="99"/>
    <w:pPr>
      <w:ind w:left="849"/>
      <w:spacing w:after="120"/>
    </w:pPr>
  </w:style>
  <w:style w:type="paragraph" w:styleId="1056">
    <w:name w:val="List Continue 4"/>
    <w:basedOn w:val="804"/>
    <w:uiPriority w:val="99"/>
    <w:pPr>
      <w:ind w:left="1132"/>
      <w:spacing w:after="120"/>
    </w:pPr>
  </w:style>
  <w:style w:type="paragraph" w:styleId="1057">
    <w:name w:val="List Continue 5"/>
    <w:basedOn w:val="804"/>
    <w:uiPriority w:val="99"/>
    <w:pPr>
      <w:ind w:left="1415"/>
      <w:spacing w:after="120"/>
    </w:pPr>
  </w:style>
  <w:style w:type="character" w:styleId="1058">
    <w:name w:val="FollowedHyperlink"/>
    <w:uiPriority w:val="99"/>
    <w:rPr>
      <w:color w:val="800080"/>
      <w:u w:val="single"/>
    </w:rPr>
  </w:style>
  <w:style w:type="paragraph" w:styleId="1059">
    <w:name w:val="Closing"/>
    <w:basedOn w:val="804"/>
    <w:link w:val="1060"/>
    <w:uiPriority w:val="99"/>
    <w:pPr>
      <w:ind w:left="4252"/>
    </w:pPr>
  </w:style>
  <w:style w:type="character" w:styleId="1060" w:customStyle="1">
    <w:name w:val="Прощание Знак"/>
    <w:link w:val="1059"/>
    <w:uiPriority w:val="99"/>
    <w:semiHidden/>
    <w:rPr>
      <w:sz w:val="24"/>
      <w:szCs w:val="24"/>
    </w:rPr>
  </w:style>
  <w:style w:type="paragraph" w:styleId="1061">
    <w:name w:val="List"/>
    <w:basedOn w:val="804"/>
    <w:uiPriority w:val="99"/>
    <w:pPr>
      <w:ind w:left="283" w:hanging="283"/>
    </w:pPr>
  </w:style>
  <w:style w:type="paragraph" w:styleId="1062">
    <w:name w:val="List 2"/>
    <w:basedOn w:val="804"/>
    <w:uiPriority w:val="99"/>
    <w:pPr>
      <w:ind w:left="566" w:hanging="283"/>
    </w:pPr>
  </w:style>
  <w:style w:type="paragraph" w:styleId="1063">
    <w:name w:val="List 3"/>
    <w:basedOn w:val="804"/>
    <w:uiPriority w:val="99"/>
    <w:pPr>
      <w:ind w:left="849" w:hanging="283"/>
    </w:pPr>
  </w:style>
  <w:style w:type="paragraph" w:styleId="1064">
    <w:name w:val="List 4"/>
    <w:basedOn w:val="804"/>
    <w:uiPriority w:val="99"/>
    <w:pPr>
      <w:ind w:left="1132" w:hanging="283"/>
    </w:pPr>
  </w:style>
  <w:style w:type="paragraph" w:styleId="1065">
    <w:name w:val="List 5"/>
    <w:basedOn w:val="804"/>
    <w:uiPriority w:val="99"/>
    <w:pPr>
      <w:ind w:left="1415" w:hanging="283"/>
    </w:pPr>
  </w:style>
  <w:style w:type="paragraph" w:styleId="1066">
    <w:name w:val="HTML Preformatted"/>
    <w:basedOn w:val="804"/>
    <w:link w:val="1067"/>
    <w:uiPriority w:val="99"/>
    <w:rPr>
      <w:rFonts w:ascii="Courier New" w:hAnsi="Courier New" w:cs="Courier New"/>
      <w:sz w:val="20"/>
      <w:szCs w:val="20"/>
    </w:rPr>
  </w:style>
  <w:style w:type="character" w:styleId="1067" w:customStyle="1">
    <w:name w:val="Стандартный HTML Знак"/>
    <w:link w:val="1066"/>
    <w:uiPriority w:val="99"/>
    <w:semiHidden/>
    <w:rPr>
      <w:rFonts w:ascii="Courier New" w:hAnsi="Courier New" w:cs="Courier New"/>
      <w:sz w:val="20"/>
      <w:szCs w:val="20"/>
    </w:rPr>
  </w:style>
  <w:style w:type="character" w:styleId="1068">
    <w:name w:val="Strong"/>
    <w:uiPriority w:val="99"/>
    <w:qFormat/>
    <w:rPr>
      <w:b/>
      <w:bCs/>
    </w:rPr>
  </w:style>
  <w:style w:type="character" w:styleId="1069">
    <w:name w:val="HTML Cite"/>
    <w:uiPriority w:val="99"/>
    <w:rPr>
      <w:i/>
      <w:iCs/>
    </w:rPr>
  </w:style>
  <w:style w:type="paragraph" w:styleId="1070">
    <w:name w:val="Message Header"/>
    <w:basedOn w:val="804"/>
    <w:link w:val="1071"/>
    <w:uiPriority w:val="99"/>
    <w:pPr>
      <w:ind w:left="1134" w:hanging="1134"/>
      <w:shd w:val="pct20" w:color="auto" w:fill="auto"/>
      <w:pBdr>
        <w:top w:val="single" w:color="000000" w:sz="6" w:space="1"/>
        <w:left w:val="single" w:color="000000" w:sz="6" w:space="1"/>
        <w:bottom w:val="single" w:color="000000" w:sz="6" w:space="1"/>
        <w:right w:val="single" w:color="000000" w:sz="6" w:space="1"/>
      </w:pBdr>
    </w:pPr>
    <w:rPr>
      <w:rFonts w:ascii="Cambria" w:hAnsi="Cambria" w:cs="Cambria"/>
    </w:rPr>
  </w:style>
  <w:style w:type="character" w:styleId="1071" w:customStyle="1">
    <w:name w:val="Шапка Знак"/>
    <w:link w:val="1070"/>
    <w:uiPriority w:val="99"/>
    <w:semiHidden/>
    <w:rPr>
      <w:rFonts w:ascii="Cambria" w:hAnsi="Cambria" w:cs="Cambria"/>
      <w:sz w:val="24"/>
      <w:szCs w:val="24"/>
      <w:shd w:val="pct20" w:color="auto" w:fill="auto"/>
    </w:rPr>
  </w:style>
  <w:style w:type="paragraph" w:styleId="1072">
    <w:name w:val="E-mail Signature"/>
    <w:basedOn w:val="804"/>
    <w:link w:val="1073"/>
    <w:uiPriority w:val="99"/>
  </w:style>
  <w:style w:type="character" w:styleId="1073" w:customStyle="1">
    <w:name w:val="Электронная подпись Знак"/>
    <w:link w:val="1072"/>
    <w:uiPriority w:val="99"/>
    <w:semiHidden/>
    <w:rPr>
      <w:sz w:val="24"/>
      <w:szCs w:val="24"/>
    </w:rPr>
  </w:style>
  <w:style w:type="paragraph" w:styleId="1074">
    <w:name w:val="toc 4"/>
    <w:basedOn w:val="804"/>
    <w:next w:val="804"/>
    <w:uiPriority w:val="39"/>
    <w:pPr>
      <w:ind w:left="720"/>
      <w:jc w:val="left"/>
      <w:spacing w:after="0"/>
    </w:pPr>
    <w:rPr>
      <w:sz w:val="18"/>
      <w:szCs w:val="18"/>
    </w:rPr>
  </w:style>
  <w:style w:type="paragraph" w:styleId="1075">
    <w:name w:val="toc 5"/>
    <w:basedOn w:val="804"/>
    <w:next w:val="804"/>
    <w:uiPriority w:val="39"/>
    <w:pPr>
      <w:ind w:left="960"/>
      <w:jc w:val="left"/>
      <w:spacing w:after="0"/>
    </w:pPr>
    <w:rPr>
      <w:sz w:val="18"/>
      <w:szCs w:val="18"/>
    </w:rPr>
  </w:style>
  <w:style w:type="paragraph" w:styleId="1076">
    <w:name w:val="toc 6"/>
    <w:basedOn w:val="804"/>
    <w:next w:val="804"/>
    <w:uiPriority w:val="39"/>
    <w:pPr>
      <w:ind w:left="1200"/>
      <w:jc w:val="left"/>
      <w:spacing w:after="0"/>
    </w:pPr>
    <w:rPr>
      <w:sz w:val="18"/>
      <w:szCs w:val="18"/>
    </w:rPr>
  </w:style>
  <w:style w:type="paragraph" w:styleId="1077">
    <w:name w:val="toc 7"/>
    <w:basedOn w:val="804"/>
    <w:next w:val="804"/>
    <w:uiPriority w:val="39"/>
    <w:pPr>
      <w:ind w:left="1440"/>
      <w:jc w:val="left"/>
      <w:spacing w:after="0"/>
    </w:pPr>
    <w:rPr>
      <w:sz w:val="18"/>
      <w:szCs w:val="18"/>
    </w:rPr>
  </w:style>
  <w:style w:type="paragraph" w:styleId="1078">
    <w:name w:val="toc 8"/>
    <w:basedOn w:val="804"/>
    <w:next w:val="804"/>
    <w:uiPriority w:val="39"/>
    <w:pPr>
      <w:ind w:left="1680"/>
      <w:jc w:val="left"/>
      <w:spacing w:after="0"/>
    </w:pPr>
    <w:rPr>
      <w:sz w:val="18"/>
      <w:szCs w:val="18"/>
    </w:rPr>
  </w:style>
  <w:style w:type="paragraph" w:styleId="1079">
    <w:name w:val="toc 9"/>
    <w:basedOn w:val="804"/>
    <w:next w:val="804"/>
    <w:uiPriority w:val="39"/>
    <w:pPr>
      <w:ind w:left="1920"/>
      <w:jc w:val="left"/>
      <w:spacing w:after="0"/>
    </w:pPr>
    <w:rPr>
      <w:sz w:val="18"/>
      <w:szCs w:val="18"/>
    </w:rPr>
  </w:style>
  <w:style w:type="paragraph" w:styleId="1080" w:customStyle="1">
    <w:name w:val="Стиль1"/>
    <w:basedOn w:val="804"/>
    <w:pPr>
      <w:numPr>
        <w:ilvl w:val="0"/>
        <w:numId w:val="5"/>
      </w:numPr>
      <w:jc w:val="left"/>
      <w:keepLines/>
      <w:keepNext/>
      <w:widowControl w:val="off"/>
      <w:suppressLineNumbers/>
    </w:pPr>
    <w:rPr>
      <w:b/>
      <w:bCs/>
      <w:sz w:val="28"/>
      <w:szCs w:val="28"/>
    </w:rPr>
  </w:style>
  <w:style w:type="paragraph" w:styleId="1081" w:customStyle="1">
    <w:name w:val="содержание2-1"/>
    <w:basedOn w:val="807"/>
    <w:next w:val="804"/>
    <w:uiPriority w:val="99"/>
  </w:style>
  <w:style w:type="paragraph" w:styleId="1082" w:customStyle="1">
    <w:name w:val="Заголовок 2.1"/>
    <w:basedOn w:val="805"/>
    <w:uiPriority w:val="99"/>
    <w:pPr>
      <w:keepLines/>
      <w:widowControl w:val="off"/>
      <w:suppressLineNumbers/>
    </w:pPr>
    <w:rPr>
      <w:caps/>
    </w:rPr>
  </w:style>
  <w:style w:type="paragraph" w:styleId="1083" w:customStyle="1">
    <w:name w:val="Стиль2"/>
    <w:basedOn w:val="982"/>
    <w:uiPriority w:val="99"/>
    <w:pPr>
      <w:numPr>
        <w:ilvl w:val="1"/>
        <w:numId w:val="5"/>
      </w:numPr>
      <w:keepLines/>
      <w:keepNext/>
      <w:widowControl w:val="off"/>
      <w:tabs>
        <w:tab w:val="num" w:pos="1492" w:leader="none"/>
      </w:tabs>
      <w:suppressLineNumbers/>
    </w:pPr>
    <w:rPr>
      <w:b/>
      <w:bCs/>
    </w:rPr>
  </w:style>
  <w:style w:type="paragraph" w:styleId="1084" w:customStyle="1">
    <w:name w:val="Стиль3"/>
    <w:basedOn w:val="1006"/>
    <w:uiPriority w:val="99"/>
    <w:pPr>
      <w:numPr>
        <w:ilvl w:val="2"/>
        <w:numId w:val="5"/>
      </w:numPr>
      <w:spacing w:after="0" w:line="240" w:lineRule="auto"/>
      <w:widowControl w:val="off"/>
    </w:pPr>
  </w:style>
  <w:style w:type="paragraph" w:styleId="1085" w:customStyle="1">
    <w:name w:val="содержание2-11"/>
    <w:basedOn w:val="804"/>
    <w:uiPriority w:val="99"/>
  </w:style>
  <w:style w:type="character" w:styleId="1086" w:customStyle="1">
    <w:name w:val="Знак Знак1"/>
    <w:uiPriority w:val="99"/>
    <w:rPr>
      <w:sz w:val="24"/>
      <w:szCs w:val="24"/>
      <w:lang w:val="ru-RU" w:eastAsia="ru-RU"/>
    </w:rPr>
  </w:style>
  <w:style w:type="character" w:styleId="1087" w:customStyle="1">
    <w:name w:val="Стиль3 Знак"/>
    <w:uiPriority w:val="99"/>
    <w:rPr>
      <w:sz w:val="24"/>
      <w:szCs w:val="24"/>
      <w:lang w:val="ru-RU" w:eastAsia="ru-RU"/>
    </w:rPr>
  </w:style>
  <w:style w:type="paragraph" w:styleId="1088" w:customStyle="1">
    <w:name w:val="Стиль4"/>
    <w:basedOn w:val="806"/>
    <w:next w:val="804"/>
    <w:uiPriority w:val="99"/>
    <w:pPr>
      <w:ind w:firstLine="567"/>
      <w:keepLines/>
      <w:widowControl w:val="off"/>
      <w:suppressLineNumbers/>
    </w:pPr>
  </w:style>
  <w:style w:type="paragraph" w:styleId="1089" w:customStyle="1">
    <w:name w:val="Таблица заголовок"/>
    <w:basedOn w:val="804"/>
    <w:uiPriority w:val="99"/>
    <w:pPr>
      <w:jc w:val="right"/>
      <w:spacing w:before="120" w:after="120" w:line="360" w:lineRule="auto"/>
    </w:pPr>
    <w:rPr>
      <w:b/>
      <w:bCs/>
      <w:sz w:val="28"/>
      <w:szCs w:val="28"/>
    </w:rPr>
  </w:style>
  <w:style w:type="paragraph" w:styleId="1090" w:customStyle="1">
    <w:name w:val="текст таблицы"/>
    <w:basedOn w:val="804"/>
    <w:uiPriority w:val="99"/>
    <w:pPr>
      <w:ind w:right="-102"/>
      <w:jc w:val="left"/>
      <w:spacing w:before="120" w:after="0"/>
    </w:pPr>
  </w:style>
  <w:style w:type="paragraph" w:styleId="1091" w:customStyle="1">
    <w:name w:val="Пункт Знак"/>
    <w:basedOn w:val="804"/>
    <w:uiPriority w:val="99"/>
    <w:pPr>
      <w:ind w:left="1134" w:hanging="567"/>
      <w:spacing w:after="0" w:line="360" w:lineRule="auto"/>
      <w:tabs>
        <w:tab w:val="num" w:pos="1134" w:leader="none"/>
        <w:tab w:val="left" w:pos="1701" w:leader="none"/>
      </w:tabs>
    </w:pPr>
    <w:rPr>
      <w:sz w:val="28"/>
      <w:szCs w:val="28"/>
    </w:rPr>
  </w:style>
  <w:style w:type="paragraph" w:styleId="1092" w:customStyle="1">
    <w:name w:val="a"/>
    <w:basedOn w:val="804"/>
    <w:uiPriority w:val="99"/>
    <w:pPr>
      <w:ind w:left="1134" w:hanging="567"/>
      <w:spacing w:after="0" w:line="360" w:lineRule="auto"/>
    </w:pPr>
    <w:rPr>
      <w:sz w:val="28"/>
      <w:szCs w:val="28"/>
    </w:rPr>
  </w:style>
  <w:style w:type="paragraph" w:styleId="1093" w:customStyle="1">
    <w:name w:val="Словарная статья"/>
    <w:basedOn w:val="804"/>
    <w:next w:val="804"/>
    <w:uiPriority w:val="99"/>
    <w:pPr>
      <w:ind w:right="118"/>
      <w:spacing w:after="0"/>
    </w:pPr>
    <w:rPr>
      <w:rFonts w:ascii="Arial" w:hAnsi="Arial" w:cs="Arial"/>
      <w:sz w:val="20"/>
      <w:szCs w:val="20"/>
    </w:rPr>
  </w:style>
  <w:style w:type="paragraph" w:styleId="1094" w:customStyle="1">
    <w:name w:val="Комментарий пользователя"/>
    <w:basedOn w:val="804"/>
    <w:next w:val="804"/>
    <w:uiPriority w:val="99"/>
    <w:pPr>
      <w:ind w:left="170"/>
      <w:jc w:val="left"/>
      <w:spacing w:after="0"/>
    </w:pPr>
    <w:rPr>
      <w:rFonts w:ascii="Arial" w:hAnsi="Arial" w:cs="Arial"/>
      <w:i/>
      <w:iCs/>
      <w:color w:val="000080"/>
      <w:sz w:val="20"/>
      <w:szCs w:val="20"/>
    </w:rPr>
  </w:style>
  <w:style w:type="character" w:styleId="1095" w:customStyle="1">
    <w:name w:val="Стиль3 Знак Знак"/>
    <w:uiPriority w:val="99"/>
    <w:rPr>
      <w:sz w:val="24"/>
      <w:szCs w:val="24"/>
      <w:lang w:val="ru-RU" w:eastAsia="ru-RU"/>
    </w:rPr>
  </w:style>
  <w:style w:type="paragraph" w:styleId="1096">
    <w:name w:val="Balloon Text"/>
    <w:basedOn w:val="804"/>
    <w:link w:val="1097"/>
    <w:uiPriority w:val="99"/>
    <w:semiHidden/>
    <w:rPr>
      <w:sz w:val="20"/>
      <w:szCs w:val="2"/>
    </w:rPr>
  </w:style>
  <w:style w:type="character" w:styleId="1097" w:customStyle="1">
    <w:name w:val="Текст выноски Знак"/>
    <w:link w:val="1096"/>
    <w:uiPriority w:val="99"/>
    <w:semiHidden/>
    <w:rPr>
      <w:szCs w:val="2"/>
    </w:rPr>
  </w:style>
  <w:style w:type="character" w:styleId="1098" w:customStyle="1">
    <w:name w:val="label_body_text_1"/>
    <w:uiPriority w:val="99"/>
  </w:style>
  <w:style w:type="paragraph" w:styleId="1099" w:customStyle="1">
    <w:name w:val="Заголовок 1.Document Header1"/>
    <w:basedOn w:val="804"/>
    <w:next w:val="804"/>
    <w:uiPriority w:val="99"/>
    <w:pPr>
      <w:jc w:val="center"/>
      <w:keepNext/>
      <w:spacing w:before="240"/>
      <w:outlineLvl w:val="0"/>
    </w:pPr>
    <w:rPr>
      <w:sz w:val="36"/>
      <w:szCs w:val="36"/>
    </w:rPr>
  </w:style>
  <w:style w:type="paragraph" w:styleId="1100" w:customStyle="1">
    <w:name w:val="ConsPlusNormal"/>
    <w:link w:val="1160"/>
    <w:qFormat/>
    <w:pPr>
      <w:ind w:firstLine="720"/>
      <w:widowControl w:val="off"/>
    </w:pPr>
    <w:rPr>
      <w:rFonts w:ascii="Arial" w:hAnsi="Arial" w:cs="Arial"/>
    </w:rPr>
  </w:style>
  <w:style w:type="character" w:styleId="1101" w:customStyle="1">
    <w:name w:val="Знак Знак11"/>
    <w:uiPriority w:val="99"/>
    <w:rPr>
      <w:sz w:val="24"/>
      <w:szCs w:val="24"/>
      <w:lang w:val="ru-RU" w:eastAsia="ru-RU"/>
    </w:rPr>
  </w:style>
  <w:style w:type="character" w:styleId="1102">
    <w:name w:val="annotation reference"/>
    <w:uiPriority w:val="99"/>
    <w:semiHidden/>
    <w:rPr>
      <w:sz w:val="16"/>
      <w:szCs w:val="16"/>
    </w:rPr>
  </w:style>
  <w:style w:type="paragraph" w:styleId="1103">
    <w:name w:val="annotation text"/>
    <w:basedOn w:val="804"/>
    <w:link w:val="1104"/>
    <w:uiPriority w:val="99"/>
    <w:semiHidden/>
    <w:rPr>
      <w:sz w:val="20"/>
      <w:szCs w:val="20"/>
    </w:rPr>
  </w:style>
  <w:style w:type="character" w:styleId="1104" w:customStyle="1">
    <w:name w:val="Текст примечания Знак"/>
    <w:link w:val="1103"/>
    <w:uiPriority w:val="99"/>
    <w:semiHidden/>
  </w:style>
  <w:style w:type="paragraph" w:styleId="1105">
    <w:name w:val="annotation subject"/>
    <w:basedOn w:val="1103"/>
    <w:next w:val="1103"/>
    <w:link w:val="1106"/>
    <w:uiPriority w:val="99"/>
    <w:semiHidden/>
    <w:rPr>
      <w:b/>
      <w:bCs/>
    </w:rPr>
  </w:style>
  <w:style w:type="character" w:styleId="1106" w:customStyle="1">
    <w:name w:val="Тема примечания Знак"/>
    <w:link w:val="1105"/>
    <w:uiPriority w:val="99"/>
    <w:semiHidden/>
    <w:rPr>
      <w:b/>
      <w:bCs/>
      <w:sz w:val="20"/>
      <w:szCs w:val="20"/>
    </w:rPr>
  </w:style>
  <w:style w:type="paragraph" w:styleId="1107" w:customStyle="1">
    <w:name w:val="20"/>
    <w:basedOn w:val="804"/>
    <w:uiPriority w:val="99"/>
    <w:pPr>
      <w:ind w:left="104" w:right="104"/>
      <w:jc w:val="left"/>
      <w:spacing w:before="104" w:after="104"/>
    </w:pPr>
  </w:style>
  <w:style w:type="character" w:styleId="1108" w:customStyle="1">
    <w:name w:val="Заголовок 1 Знак"/>
    <w:rPr>
      <w:b/>
      <w:bCs/>
      <w:sz w:val="36"/>
      <w:szCs w:val="36"/>
      <w:lang w:val="ru-RU" w:eastAsia="ru-RU"/>
    </w:rPr>
  </w:style>
  <w:style w:type="paragraph" w:styleId="1109" w:customStyle="1">
    <w:name w:val="Пункт"/>
    <w:basedOn w:val="804"/>
    <w:link w:val="1136"/>
    <w:pPr>
      <w:ind w:left="1404" w:hanging="504"/>
      <w:spacing w:after="0"/>
      <w:tabs>
        <w:tab w:val="num" w:pos="1980" w:leader="none"/>
      </w:tabs>
    </w:pPr>
  </w:style>
  <w:style w:type="paragraph" w:styleId="1110" w:customStyle="1">
    <w:name w:val="Подпункт"/>
    <w:basedOn w:val="1109"/>
    <w:pPr>
      <w:ind w:left="1728" w:hanging="648"/>
      <w:tabs>
        <w:tab w:val="clear" w:pos="1980" w:leader="none"/>
        <w:tab w:val="num" w:pos="2520" w:leader="none"/>
      </w:tabs>
    </w:pPr>
  </w:style>
  <w:style w:type="paragraph" w:styleId="1111">
    <w:name w:val="Document Map"/>
    <w:basedOn w:val="804"/>
    <w:link w:val="1112"/>
    <w:uiPriority w:val="99"/>
    <w:semiHidden/>
    <w:pPr>
      <w:shd w:val="clear" w:color="auto" w:fill="000080"/>
    </w:pPr>
    <w:rPr>
      <w:sz w:val="2"/>
      <w:szCs w:val="2"/>
    </w:rPr>
  </w:style>
  <w:style w:type="character" w:styleId="1112" w:customStyle="1">
    <w:name w:val="Схема документа Знак"/>
    <w:link w:val="1111"/>
    <w:uiPriority w:val="99"/>
    <w:semiHidden/>
    <w:rPr>
      <w:sz w:val="2"/>
      <w:szCs w:val="2"/>
    </w:rPr>
  </w:style>
  <w:style w:type="paragraph" w:styleId="1113" w:customStyle="1">
    <w:name w:val="Таблица шапка"/>
    <w:basedOn w:val="804"/>
    <w:pPr>
      <w:ind w:left="57" w:right="57"/>
      <w:jc w:val="left"/>
      <w:keepNext/>
      <w:spacing w:before="40" w:after="40"/>
    </w:pPr>
    <w:rPr>
      <w:sz w:val="18"/>
      <w:szCs w:val="18"/>
    </w:rPr>
  </w:style>
  <w:style w:type="paragraph" w:styleId="1114" w:customStyle="1">
    <w:name w:val="Таблица текст"/>
    <w:basedOn w:val="804"/>
    <w:pPr>
      <w:ind w:left="57" w:right="57"/>
      <w:jc w:val="left"/>
      <w:spacing w:before="40" w:after="40"/>
    </w:pPr>
    <w:rPr>
      <w:sz w:val="22"/>
      <w:szCs w:val="22"/>
    </w:rPr>
  </w:style>
  <w:style w:type="paragraph" w:styleId="1115" w:customStyle="1">
    <w:name w:val="пункт"/>
    <w:basedOn w:val="804"/>
    <w:uiPriority w:val="99"/>
    <w:pPr>
      <w:numPr>
        <w:ilvl w:val="2"/>
        <w:numId w:val="7"/>
      </w:numPr>
      <w:jc w:val="left"/>
      <w:spacing w:before="60"/>
    </w:pPr>
  </w:style>
  <w:style w:type="character" w:styleId="1116" w:customStyle="1">
    <w:name w:val="Гипертекстовая ссылка"/>
    <w:uiPriority w:val="99"/>
    <w:rPr>
      <w:b/>
      <w:bCs/>
      <w:color w:val="008000"/>
      <w:sz w:val="20"/>
      <w:szCs w:val="20"/>
      <w:u w:val="single"/>
    </w:rPr>
  </w:style>
  <w:style w:type="paragraph" w:styleId="1117">
    <w:name w:val="index 1"/>
    <w:basedOn w:val="804"/>
    <w:next w:val="804"/>
    <w:uiPriority w:val="99"/>
    <w:semiHidden/>
    <w:pPr>
      <w:ind w:left="240" w:hanging="240"/>
    </w:pPr>
  </w:style>
  <w:style w:type="paragraph" w:styleId="1118" w:customStyle="1">
    <w:name w:val="Обычный1"/>
    <w:uiPriority w:val="99"/>
    <w:rPr>
      <w:sz w:val="24"/>
      <w:szCs w:val="24"/>
    </w:rPr>
  </w:style>
  <w:style w:type="paragraph" w:styleId="1119" w:customStyle="1">
    <w:name w:val="ConsPlusNonformat"/>
    <w:uiPriority w:val="99"/>
    <w:pPr>
      <w:widowControl w:val="off"/>
    </w:pPr>
    <w:rPr>
      <w:rFonts w:ascii="Courier New" w:hAnsi="Courier New" w:cs="Courier New"/>
    </w:rPr>
  </w:style>
  <w:style w:type="paragraph" w:styleId="1120">
    <w:name w:val="No Spacing"/>
    <w:uiPriority w:val="1"/>
    <w:qFormat/>
    <w:rPr>
      <w:sz w:val="24"/>
      <w:szCs w:val="24"/>
    </w:rPr>
  </w:style>
  <w:style w:type="paragraph" w:styleId="1121">
    <w:name w:val="endnote text"/>
    <w:basedOn w:val="804"/>
    <w:link w:val="1122"/>
    <w:uiPriority w:val="99"/>
    <w:semiHidden/>
    <w:rPr>
      <w:sz w:val="20"/>
      <w:szCs w:val="20"/>
    </w:rPr>
  </w:style>
  <w:style w:type="character" w:styleId="1122" w:customStyle="1">
    <w:name w:val="Текст концевой сноски Знак"/>
    <w:basedOn w:val="814"/>
    <w:link w:val="1121"/>
    <w:uiPriority w:val="99"/>
  </w:style>
  <w:style w:type="character" w:styleId="1123">
    <w:name w:val="endnote reference"/>
    <w:uiPriority w:val="99"/>
    <w:semiHidden/>
    <w:rPr>
      <w:vertAlign w:val="superscript"/>
    </w:rPr>
  </w:style>
  <w:style w:type="paragraph" w:styleId="1124" w:customStyle="1">
    <w:name w:val="Основной текст с отступом11"/>
    <w:basedOn w:val="804"/>
    <w:uiPriority w:val="99"/>
    <w:pPr>
      <w:ind w:firstLine="851"/>
      <w:spacing w:before="60" w:after="0"/>
    </w:pPr>
  </w:style>
  <w:style w:type="character" w:styleId="1125" w:customStyle="1">
    <w:name w:val="Font Style30"/>
    <w:uiPriority w:val="99"/>
    <w:rPr>
      <w:rFonts w:ascii="Times New Roman" w:hAnsi="Times New Roman" w:cs="Times New Roman"/>
      <w:sz w:val="18"/>
      <w:szCs w:val="18"/>
    </w:rPr>
  </w:style>
  <w:style w:type="paragraph" w:styleId="1126">
    <w:name w:val="List Paragraph"/>
    <w:basedOn w:val="804"/>
    <w:link w:val="1143"/>
    <w:uiPriority w:val="34"/>
    <w:qFormat/>
    <w:pPr>
      <w:ind w:left="720"/>
      <w:jc w:val="left"/>
      <w:spacing w:after="0"/>
    </w:pPr>
  </w:style>
  <w:style w:type="character" w:styleId="1127">
    <w:name w:val="Placeholder Text"/>
    <w:basedOn w:val="814"/>
    <w:uiPriority w:val="99"/>
    <w:semiHidden/>
    <w:rPr>
      <w:color w:val="808080"/>
    </w:rPr>
  </w:style>
  <w:style w:type="character" w:styleId="1128" w:customStyle="1">
    <w:name w:val="f"/>
    <w:basedOn w:val="814"/>
  </w:style>
  <w:style w:type="character" w:styleId="1129" w:customStyle="1">
    <w:name w:val="r"/>
    <w:basedOn w:val="814"/>
  </w:style>
  <w:style w:type="paragraph" w:styleId="1130">
    <w:name w:val="Body Text 2"/>
    <w:basedOn w:val="804"/>
    <w:link w:val="1131"/>
    <w:pPr>
      <w:spacing w:after="120" w:line="480" w:lineRule="auto"/>
    </w:pPr>
  </w:style>
  <w:style w:type="character" w:styleId="1131" w:customStyle="1">
    <w:name w:val="Основной текст 2 Знак"/>
    <w:basedOn w:val="814"/>
    <w:link w:val="1130"/>
    <w:rPr>
      <w:sz w:val="24"/>
      <w:szCs w:val="24"/>
    </w:rPr>
  </w:style>
  <w:style w:type="table" w:styleId="1132">
    <w:name w:val="Table Grid"/>
    <w:basedOn w:val="815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133" w:customStyle="1">
    <w:name w:val="Iniiaiie oaeno"/>
    <w:basedOn w:val="804"/>
    <w:uiPriority w:val="99"/>
    <w:pPr>
      <w:jc w:val="center"/>
      <w:spacing w:after="0"/>
    </w:pPr>
    <w:rPr>
      <w:rFonts w:ascii="Arial" w:hAnsi="Arial" w:cs="Arial"/>
    </w:rPr>
  </w:style>
  <w:style w:type="paragraph" w:styleId="1134" w:customStyle="1">
    <w:name w:val="Абзац списка1"/>
    <w:basedOn w:val="804"/>
    <w:pPr>
      <w:contextualSpacing/>
      <w:ind w:left="720"/>
      <w:jc w:val="left"/>
      <w:spacing w:after="0"/>
    </w:pPr>
    <w:rPr>
      <w:rFonts w:ascii="Cambria" w:hAnsi="Cambria" w:eastAsia="MS Mincho"/>
    </w:rPr>
  </w:style>
  <w:style w:type="paragraph" w:styleId="1135" w:customStyle="1">
    <w:name w:val="Таблицы (моноширинный)"/>
    <w:basedOn w:val="804"/>
    <w:next w:val="804"/>
    <w:uiPriority w:val="99"/>
    <w:pPr>
      <w:jc w:val="left"/>
      <w:spacing w:after="0"/>
    </w:pPr>
    <w:rPr>
      <w:rFonts w:ascii="Courier New" w:hAnsi="Courier New" w:cs="Courier New" w:eastAsiaTheme="minorHAnsi"/>
      <w:lang w:eastAsia="en-US"/>
    </w:rPr>
  </w:style>
  <w:style w:type="character" w:styleId="1136" w:customStyle="1">
    <w:name w:val="Пункт Знак1"/>
    <w:link w:val="1109"/>
    <w:rPr>
      <w:sz w:val="24"/>
      <w:szCs w:val="24"/>
    </w:rPr>
  </w:style>
  <w:style w:type="paragraph" w:styleId="1137" w:customStyle="1">
    <w:name w:val="Подподпункт"/>
    <w:basedOn w:val="1110"/>
    <w:pPr>
      <w:ind w:left="567" w:hanging="567"/>
      <w:spacing w:line="360" w:lineRule="auto"/>
      <w:tabs>
        <w:tab w:val="num" w:pos="360" w:leader="none"/>
        <w:tab w:val="clear" w:pos="2520" w:leader="none"/>
      </w:tabs>
    </w:pPr>
    <w:rPr>
      <w:sz w:val="28"/>
      <w:szCs w:val="20"/>
    </w:rPr>
  </w:style>
  <w:style w:type="paragraph" w:styleId="1138" w:customStyle="1">
    <w:name w:val="Пункт-3"/>
    <w:basedOn w:val="804"/>
    <w:link w:val="1139"/>
    <w:pPr>
      <w:spacing w:after="0"/>
      <w:tabs>
        <w:tab w:val="num" w:pos="1418" w:leader="none"/>
      </w:tabs>
    </w:pPr>
    <w:rPr>
      <w:sz w:val="28"/>
      <w:szCs w:val="20"/>
    </w:rPr>
  </w:style>
  <w:style w:type="character" w:styleId="1139" w:customStyle="1">
    <w:name w:val="Пункт-3 Знак"/>
    <w:link w:val="1138"/>
    <w:rPr>
      <w:sz w:val="28"/>
    </w:rPr>
  </w:style>
  <w:style w:type="character" w:styleId="1140" w:customStyle="1">
    <w:name w:val="Основной текст (3)_"/>
    <w:basedOn w:val="814"/>
    <w:link w:val="1141"/>
    <w:rPr>
      <w:b/>
      <w:bCs/>
      <w:shd w:val="clear" w:color="auto" w:fill="ffffff"/>
    </w:rPr>
  </w:style>
  <w:style w:type="paragraph" w:styleId="1141" w:customStyle="1">
    <w:name w:val="Основной текст (3)"/>
    <w:basedOn w:val="804"/>
    <w:link w:val="1140"/>
    <w:pPr>
      <w:ind w:firstLine="709"/>
      <w:jc w:val="center"/>
      <w:spacing w:after="0" w:line="274" w:lineRule="exact"/>
      <w:shd w:val="clear" w:color="auto" w:fill="ffffff"/>
      <w:widowControl w:val="off"/>
    </w:pPr>
    <w:rPr>
      <w:b/>
      <w:bCs/>
      <w:sz w:val="20"/>
      <w:szCs w:val="20"/>
    </w:rPr>
  </w:style>
  <w:style w:type="paragraph" w:styleId="1142" w:customStyle="1">
    <w:name w:val="Default"/>
    <w:rPr>
      <w:color w:val="000000"/>
      <w:sz w:val="24"/>
      <w:szCs w:val="24"/>
      <w:lang w:eastAsia="en-US"/>
    </w:rPr>
  </w:style>
  <w:style w:type="character" w:styleId="1143" w:customStyle="1">
    <w:name w:val="Абзац списка Знак"/>
    <w:basedOn w:val="814"/>
    <w:link w:val="1126"/>
    <w:uiPriority w:val="34"/>
    <w:qFormat/>
    <w:rPr>
      <w:sz w:val="24"/>
      <w:szCs w:val="24"/>
    </w:rPr>
  </w:style>
  <w:style w:type="paragraph" w:styleId="1144" w:customStyle="1">
    <w:name w:val="Пункт-4"/>
    <w:basedOn w:val="804"/>
    <w:pPr>
      <w:ind w:left="643" w:hanging="360"/>
      <w:spacing w:after="0"/>
      <w:tabs>
        <w:tab w:val="num" w:pos="643" w:leader="none"/>
      </w:tabs>
    </w:pPr>
    <w:rPr>
      <w:sz w:val="28"/>
      <w:szCs w:val="20"/>
    </w:rPr>
  </w:style>
  <w:style w:type="character" w:styleId="1145" w:customStyle="1">
    <w:name w:val="комментарий"/>
    <w:uiPriority w:val="99"/>
    <w:rPr>
      <w:i/>
      <w:u w:val="none"/>
      <w:shd w:val="clear" w:color="auto" w:fill="ffff99"/>
    </w:rPr>
  </w:style>
  <w:style w:type="paragraph" w:styleId="1146">
    <w:name w:val="Revision"/>
    <w:hidden/>
    <w:uiPriority w:val="99"/>
    <w:semiHidden/>
    <w:rPr>
      <w:sz w:val="24"/>
      <w:szCs w:val="24"/>
    </w:rPr>
  </w:style>
  <w:style w:type="paragraph" w:styleId="1147" w:customStyle="1">
    <w:name w:val="Ариал"/>
    <w:basedOn w:val="804"/>
    <w:link w:val="1148"/>
    <w:pPr>
      <w:ind w:firstLine="851"/>
      <w:spacing w:before="120" w:after="120" w:line="360" w:lineRule="auto"/>
    </w:pPr>
    <w:rPr>
      <w:rFonts w:ascii="Arial" w:hAnsi="Arial"/>
      <w:szCs w:val="20"/>
    </w:rPr>
  </w:style>
  <w:style w:type="character" w:styleId="1148" w:customStyle="1">
    <w:name w:val="Ариал Знак1"/>
    <w:link w:val="1147"/>
    <w:rPr>
      <w:rFonts w:ascii="Arial" w:hAnsi="Arial"/>
      <w:sz w:val="24"/>
    </w:rPr>
  </w:style>
  <w:style w:type="paragraph" w:styleId="1149" w:customStyle="1">
    <w:name w:val="Цитата1"/>
    <w:basedOn w:val="804"/>
    <w:uiPriority w:val="99"/>
    <w:pPr>
      <w:ind w:left="34" w:right="32" w:firstLine="595"/>
      <w:spacing w:after="0" w:line="360" w:lineRule="auto"/>
      <w:shd w:val="clear" w:color="auto" w:fill="ffffff"/>
    </w:pPr>
    <w:rPr>
      <w:rFonts w:ascii="Arial" w:hAnsi="Arial"/>
      <w:color w:val="000000"/>
      <w:sz w:val="22"/>
      <w:szCs w:val="20"/>
    </w:rPr>
  </w:style>
  <w:style w:type="paragraph" w:styleId="1150" w:customStyle="1">
    <w:name w:val="Заголовок_1"/>
    <w:basedOn w:val="804"/>
    <w:uiPriority w:val="99"/>
    <w:pPr>
      <w:numPr>
        <w:ilvl w:val="0"/>
        <w:numId w:val="10"/>
      </w:numPr>
      <w:jc w:val="center"/>
      <w:keepLines/>
      <w:keepNext/>
      <w:spacing w:before="360" w:after="120"/>
      <w:outlineLvl w:val="0"/>
    </w:pPr>
    <w:rPr>
      <w:rFonts w:ascii="Arial" w:hAnsi="Arial" w:cs="Arial"/>
      <w:b/>
      <w:bCs/>
      <w:caps/>
      <w:sz w:val="36"/>
      <w:szCs w:val="28"/>
    </w:rPr>
  </w:style>
  <w:style w:type="paragraph" w:styleId="1151" w:customStyle="1">
    <w:name w:val="Пункт_3"/>
    <w:basedOn w:val="804"/>
    <w:uiPriority w:val="99"/>
    <w:pPr>
      <w:numPr>
        <w:ilvl w:val="2"/>
        <w:numId w:val="10"/>
      </w:numPr>
      <w:spacing w:after="0"/>
    </w:pPr>
    <w:rPr>
      <w:sz w:val="28"/>
      <w:szCs w:val="28"/>
    </w:rPr>
  </w:style>
  <w:style w:type="paragraph" w:styleId="1152" w:customStyle="1">
    <w:name w:val="Пункт_2"/>
    <w:basedOn w:val="804"/>
    <w:uiPriority w:val="99"/>
    <w:pPr>
      <w:numPr>
        <w:ilvl w:val="1"/>
        <w:numId w:val="10"/>
      </w:numPr>
      <w:spacing w:after="0"/>
    </w:pPr>
    <w:rPr>
      <w:sz w:val="28"/>
      <w:szCs w:val="20"/>
    </w:rPr>
  </w:style>
  <w:style w:type="paragraph" w:styleId="1153" w:customStyle="1">
    <w:name w:val="Пункт_5"/>
    <w:basedOn w:val="1151"/>
    <w:uiPriority w:val="99"/>
    <w:pPr>
      <w:numPr>
        <w:ilvl w:val="4"/>
      </w:numPr>
    </w:pPr>
  </w:style>
  <w:style w:type="paragraph" w:styleId="1154">
    <w:name w:val="Caption"/>
    <w:basedOn w:val="804"/>
    <w:next w:val="804"/>
    <w:uiPriority w:val="35"/>
    <w:unhideWhenUsed/>
    <w:qFormat/>
    <w:pPr>
      <w:jc w:val="left"/>
      <w:spacing w:after="200"/>
    </w:pPr>
    <w:rPr>
      <w:rFonts w:asciiTheme="minorHAnsi" w:hAnsiTheme="minorHAnsi" w:eastAsiaTheme="minorHAnsi" w:cstheme="minorBidi"/>
      <w:b/>
      <w:bCs/>
      <w:color w:val="4f81bd" w:themeColor="accent1"/>
      <w:sz w:val="18"/>
      <w:szCs w:val="18"/>
      <w:lang w:eastAsia="en-US"/>
    </w:rPr>
  </w:style>
  <w:style w:type="paragraph" w:styleId="1155" w:customStyle="1">
    <w:name w:val="Times 12"/>
    <w:basedOn w:val="804"/>
    <w:pPr>
      <w:ind w:firstLine="567"/>
      <w:spacing w:after="0"/>
    </w:pPr>
    <w:rPr>
      <w:bCs/>
      <w:szCs w:val="22"/>
    </w:rPr>
  </w:style>
  <w:style w:type="paragraph" w:styleId="1156" w:customStyle="1">
    <w:name w:val="МРСК_нумерованный_список"/>
    <w:basedOn w:val="981"/>
    <w:qFormat/>
    <w:pPr>
      <w:numPr>
        <w:ilvl w:val="0"/>
        <w:numId w:val="18"/>
      </w:numPr>
      <w:ind w:left="786" w:hanging="360"/>
      <w:keepNext/>
      <w:spacing w:after="0" w:line="300" w:lineRule="auto"/>
      <w:tabs>
        <w:tab w:val="num" w:pos="360" w:leader="none"/>
      </w:tabs>
    </w:pPr>
  </w:style>
  <w:style w:type="paragraph" w:styleId="1157" w:customStyle="1">
    <w:name w:val="буквы"/>
    <w:basedOn w:val="804"/>
    <w:uiPriority w:val="99"/>
    <w:pPr>
      <w:numPr>
        <w:ilvl w:val="0"/>
        <w:numId w:val="19"/>
      </w:numPr>
      <w:ind w:left="1080"/>
      <w:spacing w:after="0" w:line="360" w:lineRule="auto"/>
      <w:tabs>
        <w:tab w:val="clear" w:pos="360" w:leader="none"/>
        <w:tab w:val="num" w:pos="564" w:leader="none"/>
        <w:tab w:val="num" w:pos="1080" w:leader="none"/>
      </w:tabs>
    </w:pPr>
    <w:rPr>
      <w:sz w:val="28"/>
      <w:szCs w:val="20"/>
    </w:rPr>
  </w:style>
  <w:style w:type="character" w:styleId="1158" w:customStyle="1">
    <w:name w:val="FTN _коммСтиль полужирный курсив Узор: Нет (Светло-желтый)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styleId="1159" w:customStyle="1">
    <w:name w:val="Пункт б/н"/>
    <w:basedOn w:val="804"/>
    <w:pPr>
      <w:ind w:firstLine="567"/>
      <w:spacing w:after="0" w:line="360" w:lineRule="auto"/>
      <w:tabs>
        <w:tab w:val="left" w:pos="1134" w:leader="none"/>
      </w:tabs>
    </w:pPr>
    <w:rPr>
      <w:bCs/>
      <w:sz w:val="22"/>
      <w:szCs w:val="22"/>
    </w:rPr>
  </w:style>
  <w:style w:type="character" w:styleId="1160" w:customStyle="1">
    <w:name w:val="ConsPlusNormal Знак"/>
    <w:link w:val="1100"/>
    <w:rPr>
      <w:rFonts w:ascii="Arial" w:hAnsi="Arial" w:cs="Arial"/>
    </w:rPr>
  </w:style>
  <w:style w:type="paragraph" w:styleId="1161" w:customStyle="1">
    <w:name w:val=".FORMATTEXT"/>
    <w:uiPriority w:val="99"/>
    <w:pPr>
      <w:widowControl w:val="off"/>
    </w:pPr>
    <w:rPr>
      <w:rFonts w:ascii="Arial" w:hAnsi="Arial" w:cs="Arial"/>
    </w:rPr>
  </w:style>
  <w:style w:type="paragraph" w:styleId="1162" w:customStyle="1">
    <w:name w:val=".HEADERTEXT"/>
    <w:uiPriority w:val="99"/>
    <w:pPr>
      <w:widowControl w:val="off"/>
    </w:pPr>
    <w:rPr>
      <w:rFonts w:ascii="Arial" w:hAnsi="Arial" w:cs="Arial"/>
      <w:color w:val="2b4279"/>
    </w:rPr>
  </w:style>
  <w:style w:type="paragraph" w:styleId="1163" w:customStyle="1">
    <w:name w:val="s_1"/>
    <w:pPr>
      <w:spacing w:before="100" w:beforeAutospacing="1" w:after="100" w:afterAutospacing="1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sz w:val="24"/>
      <w:szCs w:val="24"/>
    </w:rPr>
  </w:style>
  <w:style w:type="character" w:styleId="1164" w:customStyle="1">
    <w:name w:val="Нет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customXml" Target="../customXml/item1.xml" /><Relationship Id="rId12" Type="http://schemas.openxmlformats.org/officeDocument/2006/relationships/hyperlink" Target="consultantplus://offline/ref=5126373A6C0DC5BE1AE5BF247482912E1BCBC98009FFC480FB735D20C5DBt3K" TargetMode="External"/><Relationship Id="rId13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Relationship Id="rId15" Type="http://schemas.openxmlformats.org/officeDocument/2006/relationships/hyperlink" Target="https://internet.garant.ru/" TargetMode="External"/><Relationship Id="rId16" Type="http://schemas.openxmlformats.org/officeDocument/2006/relationships/hyperlink" Target="https://internet.garant.ru/" TargetMode="External"/><Relationship Id="rId17" Type="http://schemas.openxmlformats.org/officeDocument/2006/relationships/hyperlink" Target="https://internet.garant.ru/" TargetMode="External"/><Relationship Id="rId18" Type="http://schemas.openxmlformats.org/officeDocument/2006/relationships/hyperlink" Target="consultantplus://offline/ref=D6F78F6F851C034ED1C7ABB4A68893F6BF7DE5685F5D9161D1FC60E77Cu8j8L" TargetMode="External"/><Relationship Id="rId19" Type="http://schemas.openxmlformats.org/officeDocument/2006/relationships/hyperlink" Target="https://internet.garant.ru/" TargetMode="External"/><Relationship Id="rId20" Type="http://schemas.openxmlformats.org/officeDocument/2006/relationships/hyperlink" Target="https://internet.garant.ru/" TargetMode="External"/><Relationship Id="rId21" Type="http://schemas.openxmlformats.org/officeDocument/2006/relationships/hyperlink" Target="https://internet.garant.ru/" TargetMode="External"/><Relationship Id="rId22" Type="http://schemas.openxmlformats.org/officeDocument/2006/relationships/hyperlink" Target="https://internet.garant.ru/" TargetMode="External"/><Relationship Id="rId23" Type="http://schemas.openxmlformats.org/officeDocument/2006/relationships/hyperlink" Target="https://internet.garant.ru/" TargetMode="External"/><Relationship Id="rId24" Type="http://schemas.openxmlformats.org/officeDocument/2006/relationships/hyperlink" Target="https://rmsp.nalog.ru/" TargetMode="External"/><Relationship Id="rId25" Type="http://schemas.openxmlformats.org/officeDocument/2006/relationships/hyperlink" Target="https://npd.nalog.ru/check-status/" TargetMode="External"/><Relationship Id="rId26" Type="http://schemas.openxmlformats.org/officeDocument/2006/relationships/hyperlink" Target="http://www.zakupki.gov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32B297-F7BE-4904-89D1-A4B0E9D27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Институт госзакупок РАГС</Company>
  <DocSecurity>0</DocSecurity>
  <HyperlinksChanged>false</HyperlinksChanged>
  <LinksUpToDate>false</LinksUpToDate>
  <Manager>Храмкин А.А.</Manager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revision>958</cp:revision>
  <dcterms:created xsi:type="dcterms:W3CDTF">2021-09-25T09:21:00Z</dcterms:created>
  <dcterms:modified xsi:type="dcterms:W3CDTF">2025-11-13T00:46:24Z</dcterms:modified>
</cp:coreProperties>
</file>